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AEE" w:rsidRPr="00102AEE" w:rsidRDefault="00102AEE" w:rsidP="00102AEE">
      <w:pPr>
        <w:autoSpaceDE/>
        <w:autoSpaceDN/>
        <w:spacing w:before="120" w:line="360" w:lineRule="atLeast"/>
        <w:jc w:val="center"/>
        <w:rPr>
          <w:rFonts w:ascii="Times New Roman" w:hAnsi="Times New Roman"/>
          <w:b/>
          <w:szCs w:val="32"/>
          <w:lang w:val="en-US"/>
        </w:rPr>
      </w:pPr>
    </w:p>
    <w:p w:rsidR="00102AEE" w:rsidRPr="00102AEE" w:rsidRDefault="00102AEE" w:rsidP="00102AEE">
      <w:pPr>
        <w:autoSpaceDE/>
        <w:autoSpaceDN/>
        <w:spacing w:before="120" w:line="360" w:lineRule="atLeast"/>
        <w:rPr>
          <w:rFonts w:ascii="Times New Roman" w:hAnsi="Times New Roman"/>
          <w:b/>
          <w:szCs w:val="32"/>
          <w:lang w:val="en-US"/>
        </w:rPr>
      </w:pPr>
      <w:r w:rsidRPr="00102AEE">
        <w:rPr>
          <w:rFonts w:ascii="Times New Roman" w:hAnsi="Times New Roman"/>
          <w:b/>
          <w:szCs w:val="32"/>
          <w:lang w:val="en-US"/>
        </w:rPr>
        <w:t xml:space="preserve">    </w:t>
      </w:r>
    </w:p>
    <w:p w:rsidR="00102AEE" w:rsidRPr="00102AEE" w:rsidRDefault="00102AEE" w:rsidP="00102AEE">
      <w:pPr>
        <w:autoSpaceDE/>
        <w:autoSpaceDN/>
        <w:spacing w:before="120" w:line="360" w:lineRule="atLeast"/>
        <w:jc w:val="center"/>
        <w:rPr>
          <w:rFonts w:ascii="Times New Roman" w:hAnsi="Times New Roman"/>
          <w:b/>
          <w:szCs w:val="32"/>
          <w:lang w:val="en-GB"/>
        </w:rPr>
      </w:pPr>
      <w:r w:rsidRPr="00102AEE">
        <w:rPr>
          <w:rFonts w:ascii="Times New Roman" w:hAnsi="Times New Roman"/>
          <w:b/>
          <w:szCs w:val="32"/>
          <w:lang w:val="en-US"/>
        </w:rPr>
        <w:t xml:space="preserve">QUY TẮC </w:t>
      </w:r>
      <w:r w:rsidRPr="00102AEE">
        <w:rPr>
          <w:rFonts w:ascii="Times New Roman" w:hAnsi="Times New Roman"/>
          <w:b/>
          <w:szCs w:val="32"/>
          <w:lang w:val="en-GB"/>
        </w:rPr>
        <w:t>BẢO HIỂM CÔNG TRÌNH DÂN DỤNG ĐÃ HOÀN THÀNH</w:t>
      </w:r>
    </w:p>
    <w:p w:rsidR="00102AEE" w:rsidRPr="00102AEE" w:rsidRDefault="00102AEE" w:rsidP="00102AEE">
      <w:pPr>
        <w:tabs>
          <w:tab w:val="left" w:pos="8222"/>
          <w:tab w:val="left" w:pos="9074"/>
        </w:tabs>
        <w:autoSpaceDE/>
        <w:autoSpaceDN/>
        <w:spacing w:line="360" w:lineRule="atLeast"/>
        <w:ind w:right="-16"/>
        <w:jc w:val="center"/>
        <w:rPr>
          <w:rFonts w:ascii="Times New Roman" w:hAnsi="Times New Roman"/>
          <w:bCs/>
          <w:i/>
          <w:lang w:val="en-GB"/>
        </w:rPr>
      </w:pPr>
      <w:r w:rsidRPr="00102AEE">
        <w:rPr>
          <w:rFonts w:ascii="Times New Roman" w:hAnsi="Times New Roman"/>
          <w:bCs/>
          <w:i/>
          <w:lang w:val="en-GB"/>
        </w:rPr>
        <w:t>(Ban hành theo Quyết định số 200 /2014/QĐ/TSC/TGĐ ngà 01 /03 /2014.</w:t>
      </w:r>
    </w:p>
    <w:p w:rsidR="00102AEE" w:rsidRPr="00102AEE" w:rsidRDefault="00102AEE" w:rsidP="00102AEE">
      <w:pPr>
        <w:tabs>
          <w:tab w:val="left" w:pos="8222"/>
        </w:tabs>
        <w:autoSpaceDE/>
        <w:autoSpaceDN/>
        <w:spacing w:line="360" w:lineRule="atLeast"/>
        <w:ind w:right="-16"/>
        <w:jc w:val="center"/>
        <w:rPr>
          <w:rFonts w:ascii="Times New Roman" w:hAnsi="Times New Roman"/>
          <w:bCs/>
          <w:i/>
          <w:lang w:val="en-GB"/>
        </w:rPr>
      </w:pPr>
      <w:r w:rsidRPr="00102AEE">
        <w:rPr>
          <w:rFonts w:ascii="Times New Roman" w:hAnsi="Times New Roman"/>
          <w:bCs/>
          <w:i/>
          <w:lang w:val="en-GB"/>
        </w:rPr>
        <w:t>của Tổng Giám đốc Tổng Công ty Cổ phần Bảo hiểm Petrolimex)</w:t>
      </w:r>
    </w:p>
    <w:p w:rsidR="00102AEE" w:rsidRPr="00102AEE" w:rsidRDefault="00102AEE" w:rsidP="00102AEE">
      <w:pPr>
        <w:tabs>
          <w:tab w:val="left" w:pos="8222"/>
        </w:tabs>
        <w:autoSpaceDE/>
        <w:autoSpaceDN/>
        <w:spacing w:line="360" w:lineRule="atLeast"/>
        <w:ind w:right="-16"/>
        <w:jc w:val="center"/>
        <w:rPr>
          <w:rFonts w:ascii="Times New Roman" w:hAnsi="Times New Roman"/>
          <w:bCs/>
          <w:i/>
          <w:lang w:val="en-GB"/>
        </w:rPr>
      </w:pPr>
    </w:p>
    <w:p w:rsidR="00102AEE" w:rsidRPr="00102AEE" w:rsidRDefault="00102AEE" w:rsidP="00102AEE">
      <w:pPr>
        <w:autoSpaceDE/>
        <w:autoSpaceDN/>
        <w:spacing w:before="120" w:line="360" w:lineRule="atLeast"/>
        <w:jc w:val="both"/>
        <w:rPr>
          <w:rFonts w:ascii="Times New Roman" w:hAnsi="Times New Roman"/>
          <w:b/>
          <w:bCs/>
          <w:highlight w:val="yellow"/>
        </w:rPr>
      </w:pPr>
      <w:r w:rsidRPr="00102AEE">
        <w:rPr>
          <w:rFonts w:ascii="Times New Roman" w:hAnsi="Times New Roman"/>
          <w:bCs/>
        </w:rPr>
        <w:t xml:space="preserve">Trên cơ sở </w:t>
      </w:r>
      <w:r w:rsidRPr="00102AEE">
        <w:rPr>
          <w:rFonts w:ascii="Times New Roman" w:hAnsi="Times New Roman"/>
        </w:rPr>
        <w:t xml:space="preserve">Người được bảo hiểm đã gửi </w:t>
      </w:r>
      <w:r w:rsidRPr="00102AEE">
        <w:rPr>
          <w:rFonts w:ascii="Times New Roman" w:hAnsi="Times New Roman"/>
          <w:lang w:val="en-US"/>
        </w:rPr>
        <w:t>G</w:t>
      </w:r>
      <w:r w:rsidRPr="00102AEE">
        <w:rPr>
          <w:rFonts w:ascii="Times New Roman" w:hAnsi="Times New Roman"/>
        </w:rPr>
        <w:t xml:space="preserve">iấy yêu cầu bảo hiểm cho </w:t>
      </w:r>
      <w:r w:rsidRPr="00102AEE">
        <w:rPr>
          <w:rFonts w:ascii="Times New Roman" w:hAnsi="Times New Roman"/>
          <w:lang w:val="en-US"/>
        </w:rPr>
        <w:t xml:space="preserve">Tổng </w:t>
      </w:r>
      <w:r w:rsidRPr="00102AEE">
        <w:rPr>
          <w:rFonts w:ascii="Times New Roman" w:hAnsi="Times New Roman"/>
        </w:rPr>
        <w:t xml:space="preserve">Công ty </w:t>
      </w:r>
      <w:r w:rsidRPr="00102AEE">
        <w:rPr>
          <w:rFonts w:ascii="Times New Roman" w:hAnsi="Times New Roman"/>
          <w:lang w:val="en-US"/>
        </w:rPr>
        <w:t>Cổ phần B</w:t>
      </w:r>
      <w:r w:rsidRPr="00102AEE">
        <w:rPr>
          <w:rFonts w:ascii="Times New Roman" w:hAnsi="Times New Roman"/>
        </w:rPr>
        <w:t xml:space="preserve">ảo hiểm </w:t>
      </w:r>
      <w:r w:rsidRPr="00102AEE">
        <w:rPr>
          <w:rFonts w:ascii="Times New Roman" w:hAnsi="Times New Roman"/>
          <w:lang w:val="en-US"/>
        </w:rPr>
        <w:t>Petrolimex</w:t>
      </w:r>
      <w:r w:rsidRPr="00102AEE">
        <w:rPr>
          <w:rFonts w:ascii="Times New Roman" w:hAnsi="Times New Roman"/>
        </w:rPr>
        <w:t xml:space="preserve"> (dưới đây gọi tắt là “</w:t>
      </w:r>
      <w:r w:rsidRPr="00102AEE">
        <w:rPr>
          <w:rFonts w:ascii="Times New Roman" w:hAnsi="Times New Roman"/>
          <w:lang w:val="en-US"/>
        </w:rPr>
        <w:t>PJICO</w:t>
      </w:r>
      <w:r w:rsidRPr="00102AEE">
        <w:rPr>
          <w:rFonts w:ascii="Times New Roman" w:hAnsi="Times New Roman"/>
        </w:rPr>
        <w:t>”) bằng cách điền vào bản câu hỏi</w:t>
      </w:r>
      <w:r w:rsidRPr="00102AEE">
        <w:rPr>
          <w:rFonts w:ascii="Times New Roman" w:hAnsi="Times New Roman"/>
          <w:lang w:val="en-US"/>
        </w:rPr>
        <w:t>, bản câu hỏi này</w:t>
      </w:r>
      <w:r w:rsidRPr="00102AEE">
        <w:rPr>
          <w:rFonts w:ascii="Times New Roman" w:hAnsi="Times New Roman"/>
        </w:rPr>
        <w:t xml:space="preserve"> cùng với các bản kê khai </w:t>
      </w:r>
      <w:r w:rsidRPr="00102AEE">
        <w:rPr>
          <w:rFonts w:ascii="Times New Roman" w:hAnsi="Times New Roman"/>
          <w:lang w:val="en-US"/>
        </w:rPr>
        <w:t>khác của Người được bảo hiểm</w:t>
      </w:r>
      <w:r w:rsidRPr="00102AEE">
        <w:rPr>
          <w:rFonts w:ascii="Times New Roman" w:hAnsi="Times New Roman"/>
        </w:rPr>
        <w:t xml:space="preserve"> </w:t>
      </w:r>
      <w:r w:rsidRPr="00102AEE">
        <w:rPr>
          <w:rFonts w:ascii="Times New Roman" w:hAnsi="Times New Roman"/>
          <w:lang w:val="en-US"/>
        </w:rPr>
        <w:t xml:space="preserve">liên quan đến Quy tắc bảo hiểm </w:t>
      </w:r>
      <w:r w:rsidRPr="00102AEE">
        <w:rPr>
          <w:rFonts w:ascii="Times New Roman" w:hAnsi="Times New Roman"/>
        </w:rPr>
        <w:t xml:space="preserve">là một bộ phận </w:t>
      </w:r>
      <w:r w:rsidRPr="00102AEE">
        <w:rPr>
          <w:rFonts w:ascii="Times New Roman" w:hAnsi="Times New Roman"/>
          <w:lang w:val="en-US"/>
        </w:rPr>
        <w:t>cấu thành bộ</w:t>
      </w:r>
      <w:r w:rsidRPr="00102AEE">
        <w:rPr>
          <w:rFonts w:ascii="Times New Roman" w:hAnsi="Times New Roman"/>
        </w:rPr>
        <w:t xml:space="preserve"> Hợp đồng bảo hiểm,</w:t>
      </w:r>
    </w:p>
    <w:p w:rsidR="00102AEE" w:rsidRPr="00102AEE" w:rsidRDefault="00102AEE" w:rsidP="00102AEE">
      <w:pPr>
        <w:tabs>
          <w:tab w:val="left" w:pos="0"/>
          <w:tab w:val="left" w:pos="142"/>
        </w:tabs>
        <w:autoSpaceDE/>
        <w:autoSpaceDN/>
        <w:spacing w:before="120" w:line="360" w:lineRule="atLeast"/>
        <w:jc w:val="both"/>
        <w:rPr>
          <w:rFonts w:ascii="Times New Roman" w:hAnsi="Times New Roman"/>
        </w:rPr>
      </w:pPr>
      <w:r w:rsidRPr="00102AEE">
        <w:rPr>
          <w:rFonts w:ascii="Times New Roman" w:hAnsi="Times New Roman"/>
          <w:bCs/>
          <w:lang w:val="en-US"/>
        </w:rPr>
        <w:t>Quy tắc</w:t>
      </w:r>
      <w:r w:rsidRPr="00102AEE">
        <w:rPr>
          <w:rFonts w:ascii="Times New Roman" w:hAnsi="Times New Roman"/>
          <w:bCs/>
        </w:rPr>
        <w:t xml:space="preserve"> bảo hiểm này xác nhận </w:t>
      </w:r>
      <w:r w:rsidRPr="00102AEE">
        <w:rPr>
          <w:rFonts w:ascii="Times New Roman" w:hAnsi="Times New Roman"/>
        </w:rPr>
        <w:t xml:space="preserve">với điều kiện là Người được bảo hiểm đã thanh toán cho PJICO số phí bảo hiểm nêu trong Giấy Chứng </w:t>
      </w:r>
      <w:r w:rsidRPr="00102AEE">
        <w:rPr>
          <w:rFonts w:ascii="Times New Roman" w:hAnsi="Times New Roman"/>
          <w:lang w:val="en-US"/>
        </w:rPr>
        <w:t>n</w:t>
      </w:r>
      <w:r w:rsidRPr="00102AEE">
        <w:rPr>
          <w:rFonts w:ascii="Times New Roman" w:hAnsi="Times New Roman"/>
        </w:rPr>
        <w:t xml:space="preserve">hận </w:t>
      </w:r>
      <w:r w:rsidRPr="00102AEE">
        <w:rPr>
          <w:rFonts w:ascii="Times New Roman" w:hAnsi="Times New Roman"/>
          <w:lang w:val="en-US"/>
        </w:rPr>
        <w:t>b</w:t>
      </w:r>
      <w:r w:rsidRPr="00102AEE">
        <w:rPr>
          <w:rFonts w:ascii="Times New Roman" w:hAnsi="Times New Roman"/>
        </w:rPr>
        <w:t xml:space="preserve">ảo </w:t>
      </w:r>
      <w:r w:rsidRPr="00102AEE">
        <w:rPr>
          <w:rFonts w:ascii="Times New Roman" w:hAnsi="Times New Roman"/>
          <w:lang w:val="en-US"/>
        </w:rPr>
        <w:t>h</w:t>
      </w:r>
      <w:r w:rsidRPr="00102AEE">
        <w:rPr>
          <w:rFonts w:ascii="Times New Roman" w:hAnsi="Times New Roman"/>
        </w:rPr>
        <w:t>iểm</w:t>
      </w:r>
      <w:r w:rsidRPr="00102AEE">
        <w:rPr>
          <w:rFonts w:ascii="Times New Roman" w:hAnsi="Times New Roman"/>
          <w:lang w:val="en-US"/>
        </w:rPr>
        <w:t>/Hợp đồng bảo hiểm</w:t>
      </w:r>
      <w:r w:rsidRPr="00102AEE">
        <w:rPr>
          <w:rFonts w:ascii="Times New Roman" w:hAnsi="Times New Roman"/>
        </w:rPr>
        <w:t xml:space="preserve"> và tuân theo các điều kiện, điều khoản và các điểm loại trừ quy định trong Giấy Chứng </w:t>
      </w:r>
      <w:r w:rsidRPr="00102AEE">
        <w:rPr>
          <w:rFonts w:ascii="Times New Roman" w:hAnsi="Times New Roman"/>
          <w:lang w:val="en-US"/>
        </w:rPr>
        <w:t>n</w:t>
      </w:r>
      <w:r w:rsidRPr="00102AEE">
        <w:rPr>
          <w:rFonts w:ascii="Times New Roman" w:hAnsi="Times New Roman"/>
        </w:rPr>
        <w:t xml:space="preserve">hận </w:t>
      </w:r>
      <w:r w:rsidRPr="00102AEE">
        <w:rPr>
          <w:rFonts w:ascii="Times New Roman" w:hAnsi="Times New Roman"/>
          <w:lang w:val="en-US"/>
        </w:rPr>
        <w:t>b</w:t>
      </w:r>
      <w:r w:rsidRPr="00102AEE">
        <w:rPr>
          <w:rFonts w:ascii="Times New Roman" w:hAnsi="Times New Roman"/>
        </w:rPr>
        <w:t xml:space="preserve">ảo </w:t>
      </w:r>
      <w:r w:rsidRPr="00102AEE">
        <w:rPr>
          <w:rFonts w:ascii="Times New Roman" w:hAnsi="Times New Roman"/>
          <w:lang w:val="en-US"/>
        </w:rPr>
        <w:t>h</w:t>
      </w:r>
      <w:r w:rsidRPr="00102AEE">
        <w:rPr>
          <w:rFonts w:ascii="Times New Roman" w:hAnsi="Times New Roman"/>
        </w:rPr>
        <w:t>iểm</w:t>
      </w:r>
      <w:r w:rsidRPr="00102AEE">
        <w:rPr>
          <w:rFonts w:ascii="Times New Roman" w:hAnsi="Times New Roman"/>
          <w:lang w:val="en-US"/>
        </w:rPr>
        <w:t>/Hợp đồng bảo hiểm</w:t>
      </w:r>
      <w:r w:rsidRPr="00102AEE">
        <w:rPr>
          <w:rFonts w:ascii="Times New Roman" w:hAnsi="Times New Roman"/>
        </w:rPr>
        <w:t xml:space="preserve"> hoặc </w:t>
      </w:r>
      <w:r w:rsidRPr="00102AEE">
        <w:rPr>
          <w:rFonts w:ascii="Times New Roman" w:hAnsi="Times New Roman"/>
          <w:lang w:val="en-US"/>
        </w:rPr>
        <w:t>Sửa đổi bổ sung theo sau</w:t>
      </w:r>
      <w:r w:rsidRPr="00102AEE">
        <w:rPr>
          <w:rFonts w:ascii="Times New Roman" w:hAnsi="Times New Roman"/>
        </w:rPr>
        <w:t>, PJICO sẽ bồi thường cho Người được bảo hiểm theo cách thức và mức độ quy định dưới đây.</w:t>
      </w:r>
    </w:p>
    <w:p w:rsidR="00102AEE" w:rsidRPr="00102AEE" w:rsidRDefault="00102AEE" w:rsidP="00102AEE">
      <w:pPr>
        <w:autoSpaceDE/>
        <w:autoSpaceDN/>
        <w:spacing w:before="120" w:line="360" w:lineRule="atLeast"/>
        <w:jc w:val="both"/>
        <w:rPr>
          <w:rFonts w:ascii="Times New Roman" w:hAnsi="Times New Roman"/>
        </w:rPr>
      </w:pPr>
      <w:r w:rsidRPr="00102AEE">
        <w:rPr>
          <w:rFonts w:ascii="Times New Roman" w:hAnsi="Times New Roman"/>
        </w:rPr>
        <w:t xml:space="preserve">PJICO đồng ý với Người được bảo hiểm rằng nếu bất kỳ hạng mục nào hay bộ phận nào của hạng mục được kê khai trong Giấy Chứng </w:t>
      </w:r>
      <w:r w:rsidRPr="00102AEE">
        <w:rPr>
          <w:rFonts w:ascii="Times New Roman" w:hAnsi="Times New Roman"/>
          <w:lang w:val="en-US"/>
        </w:rPr>
        <w:t>n</w:t>
      </w:r>
      <w:r w:rsidRPr="00102AEE">
        <w:rPr>
          <w:rFonts w:ascii="Times New Roman" w:hAnsi="Times New Roman"/>
        </w:rPr>
        <w:t xml:space="preserve">hận </w:t>
      </w:r>
      <w:r w:rsidRPr="00102AEE">
        <w:rPr>
          <w:rFonts w:ascii="Times New Roman" w:hAnsi="Times New Roman"/>
          <w:lang w:val="en-US"/>
        </w:rPr>
        <w:t>b</w:t>
      </w:r>
      <w:r w:rsidRPr="00102AEE">
        <w:rPr>
          <w:rFonts w:ascii="Times New Roman" w:hAnsi="Times New Roman"/>
        </w:rPr>
        <w:t xml:space="preserve">ảo </w:t>
      </w:r>
      <w:r w:rsidRPr="00102AEE">
        <w:rPr>
          <w:rFonts w:ascii="Times New Roman" w:hAnsi="Times New Roman"/>
          <w:lang w:val="en-US"/>
        </w:rPr>
        <w:t>h</w:t>
      </w:r>
      <w:r w:rsidRPr="00102AEE">
        <w:rPr>
          <w:rFonts w:ascii="Times New Roman" w:hAnsi="Times New Roman"/>
        </w:rPr>
        <w:t>iểm</w:t>
      </w:r>
      <w:r w:rsidRPr="00102AEE">
        <w:rPr>
          <w:rFonts w:ascii="Times New Roman" w:hAnsi="Times New Roman"/>
          <w:lang w:val="en-US"/>
        </w:rPr>
        <w:t>/Hợp đồng bảo hiểm</w:t>
      </w:r>
      <w:r w:rsidRPr="00102AEE">
        <w:rPr>
          <w:rFonts w:ascii="Times New Roman" w:hAnsi="Times New Roman"/>
        </w:rPr>
        <w:t xml:space="preserve"> bị tổn thất vật chất, bất ngờ và không lường trước được do các nguyên nhân sau đây:</w:t>
      </w:r>
    </w:p>
    <w:p w:rsidR="00102AEE" w:rsidRPr="00102AEE" w:rsidRDefault="00102AEE" w:rsidP="00102AEE">
      <w:pPr>
        <w:numPr>
          <w:ilvl w:val="0"/>
          <w:numId w:val="1"/>
        </w:numPr>
        <w:tabs>
          <w:tab w:val="clear" w:pos="360"/>
          <w:tab w:val="left" w:pos="993"/>
        </w:tabs>
        <w:autoSpaceDE/>
        <w:autoSpaceDN/>
        <w:spacing w:before="120" w:line="360" w:lineRule="atLeast"/>
        <w:ind w:left="993" w:hanging="567"/>
        <w:jc w:val="both"/>
        <w:rPr>
          <w:rFonts w:ascii="Times New Roman" w:hAnsi="Times New Roman"/>
        </w:rPr>
      </w:pPr>
      <w:r w:rsidRPr="00102AEE">
        <w:rPr>
          <w:rFonts w:ascii="Times New Roman" w:hAnsi="Times New Roman"/>
        </w:rPr>
        <w:t>Hỏa hoạn, sét, nổ, các phương tiện trên b</w:t>
      </w:r>
      <w:r w:rsidRPr="00102AEE">
        <w:rPr>
          <w:rFonts w:ascii="Times New Roman" w:hAnsi="Times New Roman"/>
          <w:lang w:val="en-US"/>
        </w:rPr>
        <w:t>ộ</w:t>
      </w:r>
      <w:r w:rsidRPr="00102AEE">
        <w:rPr>
          <w:rFonts w:ascii="Times New Roman" w:hAnsi="Times New Roman"/>
        </w:rPr>
        <w:t>, dưới nước</w:t>
      </w:r>
      <w:r w:rsidRPr="00102AEE">
        <w:rPr>
          <w:rFonts w:ascii="Times New Roman" w:hAnsi="Times New Roman"/>
          <w:lang w:val="en-US"/>
        </w:rPr>
        <w:t xml:space="preserve"> va chạm vào;</w:t>
      </w:r>
    </w:p>
    <w:p w:rsidR="00102AEE" w:rsidRPr="00102AEE" w:rsidRDefault="00102AEE" w:rsidP="00102AEE">
      <w:pPr>
        <w:numPr>
          <w:ilvl w:val="0"/>
          <w:numId w:val="1"/>
        </w:numPr>
        <w:tabs>
          <w:tab w:val="clear" w:pos="360"/>
          <w:tab w:val="left" w:pos="993"/>
        </w:tabs>
        <w:autoSpaceDE/>
        <w:autoSpaceDN/>
        <w:spacing w:before="120" w:line="360" w:lineRule="atLeast"/>
        <w:ind w:left="993" w:hanging="567"/>
        <w:jc w:val="both"/>
        <w:rPr>
          <w:rFonts w:ascii="Times New Roman" w:hAnsi="Times New Roman"/>
        </w:rPr>
      </w:pPr>
      <w:r w:rsidRPr="00102AEE">
        <w:rPr>
          <w:rFonts w:ascii="Times New Roman" w:hAnsi="Times New Roman"/>
        </w:rPr>
        <w:t xml:space="preserve">Va chạm </w:t>
      </w:r>
      <w:r w:rsidRPr="00102AEE">
        <w:rPr>
          <w:rFonts w:ascii="Times New Roman" w:hAnsi="Times New Roman"/>
          <w:lang w:val="en-US"/>
        </w:rPr>
        <w:t>bởi</w:t>
      </w:r>
      <w:r w:rsidRPr="00102AEE">
        <w:rPr>
          <w:rFonts w:ascii="Times New Roman" w:hAnsi="Times New Roman"/>
        </w:rPr>
        <w:t xml:space="preserve"> máy bay </w:t>
      </w:r>
      <w:r w:rsidRPr="00102AEE">
        <w:rPr>
          <w:rFonts w:ascii="Times New Roman" w:hAnsi="Times New Roman"/>
          <w:lang w:val="en-US"/>
        </w:rPr>
        <w:t>và</w:t>
      </w:r>
      <w:r w:rsidRPr="00102AEE">
        <w:rPr>
          <w:rFonts w:ascii="Times New Roman" w:hAnsi="Times New Roman"/>
        </w:rPr>
        <w:t xml:space="preserve"> các phương tiện hàng không </w:t>
      </w:r>
      <w:r w:rsidRPr="00102AEE">
        <w:rPr>
          <w:rFonts w:ascii="Times New Roman" w:hAnsi="Times New Roman"/>
          <w:lang w:val="en-US"/>
        </w:rPr>
        <w:t xml:space="preserve">khác </w:t>
      </w:r>
      <w:r w:rsidRPr="00102AEE">
        <w:rPr>
          <w:rFonts w:ascii="Times New Roman" w:hAnsi="Times New Roman"/>
        </w:rPr>
        <w:t xml:space="preserve">hoặc các thiết bị trên </w:t>
      </w:r>
      <w:r w:rsidRPr="00102AEE">
        <w:rPr>
          <w:rFonts w:ascii="Times New Roman" w:hAnsi="Times New Roman"/>
          <w:lang w:val="en-US"/>
        </w:rPr>
        <w:t>phương tiện đó rơi trúng;</w:t>
      </w:r>
    </w:p>
    <w:p w:rsidR="00102AEE" w:rsidRPr="00102AEE" w:rsidRDefault="00102AEE" w:rsidP="00102AEE">
      <w:pPr>
        <w:numPr>
          <w:ilvl w:val="0"/>
          <w:numId w:val="1"/>
        </w:numPr>
        <w:tabs>
          <w:tab w:val="clear" w:pos="360"/>
          <w:tab w:val="left" w:pos="993"/>
        </w:tabs>
        <w:autoSpaceDE/>
        <w:autoSpaceDN/>
        <w:spacing w:before="120" w:line="360" w:lineRule="atLeast"/>
        <w:ind w:left="993" w:hanging="567"/>
        <w:jc w:val="both"/>
        <w:rPr>
          <w:rFonts w:ascii="Times New Roman" w:hAnsi="Times New Roman"/>
        </w:rPr>
      </w:pPr>
      <w:r w:rsidRPr="00102AEE">
        <w:rPr>
          <w:rFonts w:ascii="Times New Roman" w:hAnsi="Times New Roman"/>
        </w:rPr>
        <w:t>Động đất, núi lửa, sóng thần</w:t>
      </w:r>
      <w:r w:rsidRPr="00102AEE">
        <w:rPr>
          <w:rFonts w:ascii="Times New Roman" w:hAnsi="Times New Roman"/>
          <w:lang w:val="en-US"/>
        </w:rPr>
        <w:t>;</w:t>
      </w:r>
    </w:p>
    <w:p w:rsidR="00102AEE" w:rsidRPr="00102AEE" w:rsidRDefault="00102AEE" w:rsidP="00102AEE">
      <w:pPr>
        <w:numPr>
          <w:ilvl w:val="0"/>
          <w:numId w:val="1"/>
        </w:numPr>
        <w:tabs>
          <w:tab w:val="clear" w:pos="360"/>
          <w:tab w:val="left" w:pos="993"/>
        </w:tabs>
        <w:autoSpaceDE/>
        <w:autoSpaceDN/>
        <w:spacing w:before="120" w:line="360" w:lineRule="atLeast"/>
        <w:ind w:left="993" w:hanging="567"/>
        <w:jc w:val="both"/>
        <w:rPr>
          <w:rFonts w:ascii="Times New Roman" w:hAnsi="Times New Roman"/>
        </w:rPr>
      </w:pPr>
      <w:r w:rsidRPr="00102AEE">
        <w:rPr>
          <w:rFonts w:ascii="Times New Roman" w:hAnsi="Times New Roman"/>
        </w:rPr>
        <w:t xml:space="preserve">Giông bão (sự di chuyển của gió với tốc độ </w:t>
      </w:r>
      <w:r w:rsidRPr="00102AEE">
        <w:rPr>
          <w:rFonts w:ascii="Times New Roman" w:hAnsi="Times New Roman"/>
          <w:lang w:val="en-US"/>
        </w:rPr>
        <w:t xml:space="preserve">mạnh hơn </w:t>
      </w:r>
      <w:r w:rsidRPr="00102AEE">
        <w:rPr>
          <w:rFonts w:ascii="Times New Roman" w:hAnsi="Times New Roman"/>
        </w:rPr>
        <w:t>cấp 8 theo thang độ Beaufort)</w:t>
      </w:r>
      <w:r w:rsidRPr="00102AEE">
        <w:rPr>
          <w:rFonts w:ascii="Times New Roman" w:hAnsi="Times New Roman"/>
          <w:lang w:val="en-US"/>
        </w:rPr>
        <w:t>;</w:t>
      </w:r>
    </w:p>
    <w:p w:rsidR="00102AEE" w:rsidRPr="00102AEE" w:rsidRDefault="00102AEE" w:rsidP="00102AEE">
      <w:pPr>
        <w:numPr>
          <w:ilvl w:val="0"/>
          <w:numId w:val="1"/>
        </w:numPr>
        <w:tabs>
          <w:tab w:val="clear" w:pos="360"/>
          <w:tab w:val="left" w:pos="993"/>
        </w:tabs>
        <w:autoSpaceDE/>
        <w:autoSpaceDN/>
        <w:spacing w:before="120" w:line="360" w:lineRule="atLeast"/>
        <w:ind w:left="993" w:hanging="567"/>
        <w:jc w:val="both"/>
        <w:rPr>
          <w:rFonts w:ascii="Times New Roman" w:hAnsi="Times New Roman"/>
        </w:rPr>
      </w:pPr>
      <w:r w:rsidRPr="00102AEE">
        <w:rPr>
          <w:rFonts w:ascii="Times New Roman" w:hAnsi="Times New Roman"/>
        </w:rPr>
        <w:t xml:space="preserve">Lũ </w:t>
      </w:r>
      <w:r w:rsidRPr="00102AEE">
        <w:rPr>
          <w:rFonts w:ascii="Times New Roman" w:hAnsi="Times New Roman"/>
          <w:lang w:val="en-US"/>
        </w:rPr>
        <w:t xml:space="preserve">hoặc </w:t>
      </w:r>
      <w:r w:rsidRPr="00102AEE">
        <w:rPr>
          <w:rFonts w:ascii="Times New Roman" w:hAnsi="Times New Roman"/>
        </w:rPr>
        <w:t>lụt, tác động của sóng hay nước</w:t>
      </w:r>
      <w:r w:rsidRPr="00102AEE">
        <w:rPr>
          <w:rFonts w:ascii="Times New Roman" w:hAnsi="Times New Roman"/>
          <w:lang w:val="en-US"/>
        </w:rPr>
        <w:t>;</w:t>
      </w:r>
    </w:p>
    <w:p w:rsidR="00102AEE" w:rsidRPr="00102AEE" w:rsidRDefault="00102AEE" w:rsidP="00102AEE">
      <w:pPr>
        <w:numPr>
          <w:ilvl w:val="0"/>
          <w:numId w:val="1"/>
        </w:numPr>
        <w:tabs>
          <w:tab w:val="clear" w:pos="360"/>
          <w:tab w:val="left" w:pos="993"/>
        </w:tabs>
        <w:autoSpaceDE/>
        <w:autoSpaceDN/>
        <w:spacing w:before="120" w:line="360" w:lineRule="atLeast"/>
        <w:ind w:left="993" w:hanging="567"/>
        <w:jc w:val="both"/>
        <w:rPr>
          <w:rFonts w:ascii="Times New Roman" w:hAnsi="Times New Roman"/>
        </w:rPr>
      </w:pPr>
      <w:r w:rsidRPr="00102AEE">
        <w:rPr>
          <w:rFonts w:ascii="Times New Roman" w:hAnsi="Times New Roman"/>
          <w:lang w:val="en-US"/>
        </w:rPr>
        <w:t>Lún sụt, đất lở, đá lở hay những dịch chuyển khác của đất;</w:t>
      </w:r>
    </w:p>
    <w:p w:rsidR="00102AEE" w:rsidRPr="00102AEE" w:rsidRDefault="00102AEE" w:rsidP="00102AEE">
      <w:pPr>
        <w:numPr>
          <w:ilvl w:val="0"/>
          <w:numId w:val="1"/>
        </w:numPr>
        <w:tabs>
          <w:tab w:val="clear" w:pos="360"/>
          <w:tab w:val="left" w:pos="993"/>
        </w:tabs>
        <w:autoSpaceDE/>
        <w:autoSpaceDN/>
        <w:spacing w:before="120" w:line="360" w:lineRule="atLeast"/>
        <w:ind w:left="993" w:hanging="567"/>
        <w:jc w:val="both"/>
        <w:rPr>
          <w:rFonts w:ascii="Times New Roman" w:hAnsi="Times New Roman"/>
        </w:rPr>
      </w:pPr>
      <w:r w:rsidRPr="00102AEE">
        <w:rPr>
          <w:rFonts w:ascii="Times New Roman" w:hAnsi="Times New Roman"/>
        </w:rPr>
        <w:t>Sương giá, tuyết lở, băng;</w:t>
      </w:r>
    </w:p>
    <w:p w:rsidR="00102AEE" w:rsidRPr="00102AEE" w:rsidRDefault="00102AEE" w:rsidP="00102AEE">
      <w:pPr>
        <w:numPr>
          <w:ilvl w:val="0"/>
          <w:numId w:val="1"/>
        </w:numPr>
        <w:tabs>
          <w:tab w:val="clear" w:pos="360"/>
          <w:tab w:val="left" w:pos="993"/>
        </w:tabs>
        <w:autoSpaceDE/>
        <w:autoSpaceDN/>
        <w:spacing w:before="120" w:line="360" w:lineRule="atLeast"/>
        <w:ind w:left="993" w:hanging="567"/>
        <w:jc w:val="both"/>
        <w:rPr>
          <w:rFonts w:ascii="Times New Roman" w:hAnsi="Times New Roman"/>
        </w:rPr>
      </w:pPr>
      <w:r w:rsidRPr="00102AEE">
        <w:rPr>
          <w:rFonts w:ascii="Times New Roman" w:hAnsi="Times New Roman"/>
        </w:rPr>
        <w:t xml:space="preserve">Sự phá hoại </w:t>
      </w:r>
      <w:r w:rsidRPr="00102AEE">
        <w:rPr>
          <w:rFonts w:ascii="Times New Roman" w:hAnsi="Times New Roman"/>
          <w:lang w:val="en-US"/>
        </w:rPr>
        <w:t>của những cá nhân đơn lẻ;</w:t>
      </w:r>
    </w:p>
    <w:p w:rsidR="00102AEE" w:rsidRPr="00102AEE" w:rsidRDefault="00102AEE" w:rsidP="00102AEE">
      <w:pPr>
        <w:autoSpaceDE/>
        <w:autoSpaceDN/>
        <w:spacing w:before="120" w:line="360" w:lineRule="atLeast"/>
        <w:jc w:val="both"/>
        <w:rPr>
          <w:rFonts w:ascii="Times New Roman" w:hAnsi="Times New Roman"/>
        </w:rPr>
      </w:pPr>
      <w:r w:rsidRPr="00102AEE">
        <w:rPr>
          <w:rFonts w:ascii="Times New Roman" w:hAnsi="Times New Roman"/>
          <w:lang w:val="en-US"/>
        </w:rPr>
        <w:t xml:space="preserve">ở mức độ cần thiết phải sửa chữa hoặc thay thế và tổn thất </w:t>
      </w:r>
      <w:r w:rsidRPr="00102AEE">
        <w:rPr>
          <w:rFonts w:ascii="Times New Roman" w:hAnsi="Times New Roman"/>
        </w:rPr>
        <w:t xml:space="preserve">xảy ra </w:t>
      </w:r>
      <w:r w:rsidRPr="00102AEE">
        <w:rPr>
          <w:rFonts w:ascii="Times New Roman" w:hAnsi="Times New Roman"/>
          <w:lang w:val="en-US"/>
        </w:rPr>
        <w:t xml:space="preserve">tại bất kỳ thời điểm nào </w:t>
      </w:r>
      <w:r w:rsidRPr="00102AEE">
        <w:rPr>
          <w:rFonts w:ascii="Times New Roman" w:hAnsi="Times New Roman"/>
        </w:rPr>
        <w:t xml:space="preserve">trong thời hạn bảo hiểm ghi trong Giấy Chứng </w:t>
      </w:r>
      <w:r w:rsidRPr="00102AEE">
        <w:rPr>
          <w:rFonts w:ascii="Times New Roman" w:hAnsi="Times New Roman"/>
          <w:lang w:val="en-US"/>
        </w:rPr>
        <w:t>n</w:t>
      </w:r>
      <w:r w:rsidRPr="00102AEE">
        <w:rPr>
          <w:rFonts w:ascii="Times New Roman" w:hAnsi="Times New Roman"/>
        </w:rPr>
        <w:t xml:space="preserve">hận </w:t>
      </w:r>
      <w:r w:rsidRPr="00102AEE">
        <w:rPr>
          <w:rFonts w:ascii="Times New Roman" w:hAnsi="Times New Roman"/>
          <w:lang w:val="en-US"/>
        </w:rPr>
        <w:t>b</w:t>
      </w:r>
      <w:r w:rsidRPr="00102AEE">
        <w:rPr>
          <w:rFonts w:ascii="Times New Roman" w:hAnsi="Times New Roman"/>
        </w:rPr>
        <w:t xml:space="preserve">ảo </w:t>
      </w:r>
      <w:r w:rsidRPr="00102AEE">
        <w:rPr>
          <w:rFonts w:ascii="Times New Roman" w:hAnsi="Times New Roman"/>
          <w:lang w:val="en-US"/>
        </w:rPr>
        <w:t>h</w:t>
      </w:r>
      <w:r w:rsidRPr="00102AEE">
        <w:rPr>
          <w:rFonts w:ascii="Times New Roman" w:hAnsi="Times New Roman"/>
        </w:rPr>
        <w:t>iểm</w:t>
      </w:r>
      <w:r w:rsidRPr="00102AEE">
        <w:rPr>
          <w:rFonts w:ascii="Times New Roman" w:hAnsi="Times New Roman"/>
          <w:lang w:val="en-US"/>
        </w:rPr>
        <w:t>/Hợp đồng bảo hiểm</w:t>
      </w:r>
      <w:r w:rsidRPr="00102AEE">
        <w:rPr>
          <w:rFonts w:ascii="Times New Roman" w:hAnsi="Times New Roman"/>
        </w:rPr>
        <w:t xml:space="preserve"> hoặc bất kỳ khoảng thời gian tiếp theo</w:t>
      </w:r>
      <w:r w:rsidRPr="00102AEE">
        <w:rPr>
          <w:rFonts w:ascii="Times New Roman" w:hAnsi="Times New Roman"/>
          <w:lang w:val="en-US"/>
        </w:rPr>
        <w:t xml:space="preserve"> nào </w:t>
      </w:r>
      <w:r w:rsidRPr="00102AEE">
        <w:rPr>
          <w:rFonts w:ascii="Times New Roman" w:hAnsi="Times New Roman"/>
        </w:rPr>
        <w:t xml:space="preserve">mà Người được bảo hiểm trả phí và được PJICO chấp nhận </w:t>
      </w:r>
      <w:r w:rsidRPr="00102AEE">
        <w:rPr>
          <w:rFonts w:ascii="Times New Roman" w:hAnsi="Times New Roman"/>
          <w:lang w:val="en-US"/>
        </w:rPr>
        <w:t xml:space="preserve">đối với việc tái tục của </w:t>
      </w:r>
      <w:r w:rsidRPr="00102AEE">
        <w:rPr>
          <w:rFonts w:ascii="Times New Roman" w:hAnsi="Times New Roman"/>
        </w:rPr>
        <w:t xml:space="preserve">Giấy Chứng </w:t>
      </w:r>
      <w:r w:rsidRPr="00102AEE">
        <w:rPr>
          <w:rFonts w:ascii="Times New Roman" w:hAnsi="Times New Roman"/>
          <w:lang w:val="en-US"/>
        </w:rPr>
        <w:t>n</w:t>
      </w:r>
      <w:r w:rsidRPr="00102AEE">
        <w:rPr>
          <w:rFonts w:ascii="Times New Roman" w:hAnsi="Times New Roman"/>
        </w:rPr>
        <w:t xml:space="preserve">hận </w:t>
      </w:r>
      <w:r w:rsidRPr="00102AEE">
        <w:rPr>
          <w:rFonts w:ascii="Times New Roman" w:hAnsi="Times New Roman"/>
          <w:lang w:val="en-US"/>
        </w:rPr>
        <w:t>b</w:t>
      </w:r>
      <w:r w:rsidRPr="00102AEE">
        <w:rPr>
          <w:rFonts w:ascii="Times New Roman" w:hAnsi="Times New Roman"/>
        </w:rPr>
        <w:t xml:space="preserve">ảo </w:t>
      </w:r>
      <w:r w:rsidRPr="00102AEE">
        <w:rPr>
          <w:rFonts w:ascii="Times New Roman" w:hAnsi="Times New Roman"/>
          <w:lang w:val="en-US"/>
        </w:rPr>
        <w:t>h</w:t>
      </w:r>
      <w:r w:rsidRPr="00102AEE">
        <w:rPr>
          <w:rFonts w:ascii="Times New Roman" w:hAnsi="Times New Roman"/>
        </w:rPr>
        <w:t>iểm</w:t>
      </w:r>
      <w:r w:rsidRPr="00102AEE">
        <w:rPr>
          <w:rFonts w:ascii="Times New Roman" w:hAnsi="Times New Roman"/>
          <w:lang w:val="en-US"/>
        </w:rPr>
        <w:t>/Hợp đồng bảo hiểm</w:t>
      </w:r>
      <w:r w:rsidRPr="00102AEE">
        <w:rPr>
          <w:rFonts w:ascii="Times New Roman" w:hAnsi="Times New Roman"/>
        </w:rPr>
        <w:t>,</w:t>
      </w:r>
    </w:p>
    <w:p w:rsidR="00102AEE" w:rsidRPr="00102AEE" w:rsidRDefault="00102AEE" w:rsidP="00102AEE">
      <w:pPr>
        <w:autoSpaceDE/>
        <w:autoSpaceDN/>
        <w:spacing w:before="120" w:line="360" w:lineRule="atLeast"/>
        <w:jc w:val="both"/>
        <w:rPr>
          <w:rFonts w:ascii="Times New Roman" w:hAnsi="Times New Roman"/>
          <w:lang w:val="en-US"/>
        </w:rPr>
      </w:pPr>
      <w:r w:rsidRPr="00102AEE">
        <w:rPr>
          <w:rFonts w:ascii="Times New Roman" w:hAnsi="Times New Roman"/>
        </w:rPr>
        <w:t xml:space="preserve">PJICO </w:t>
      </w:r>
      <w:r w:rsidRPr="00102AEE">
        <w:rPr>
          <w:rFonts w:ascii="Times New Roman" w:hAnsi="Times New Roman"/>
          <w:lang w:val="en-US"/>
        </w:rPr>
        <w:t>sẽ</w:t>
      </w:r>
      <w:r w:rsidRPr="00102AEE">
        <w:rPr>
          <w:rFonts w:ascii="Times New Roman" w:hAnsi="Times New Roman"/>
        </w:rPr>
        <w:t xml:space="preserve"> bồi thường cho Người được bảo hiểm đối với những tổn thất </w:t>
      </w:r>
      <w:r w:rsidRPr="00102AEE">
        <w:rPr>
          <w:rFonts w:ascii="Times New Roman" w:hAnsi="Times New Roman"/>
          <w:lang w:val="en-US"/>
        </w:rPr>
        <w:t xml:space="preserve">hoặc thiệt hại </w:t>
      </w:r>
      <w:r w:rsidRPr="00102AEE">
        <w:rPr>
          <w:rFonts w:ascii="Times New Roman" w:hAnsi="Times New Roman"/>
        </w:rPr>
        <w:t xml:space="preserve">nêu trên bằng cách trả tiền mặt, thay thế hoặc sửa chữa tới một mức </w:t>
      </w:r>
      <w:r w:rsidRPr="00102AEE">
        <w:rPr>
          <w:rFonts w:ascii="Times New Roman" w:hAnsi="Times New Roman"/>
          <w:lang w:val="en-US"/>
        </w:rPr>
        <w:t xml:space="preserve">bồi thường </w:t>
      </w:r>
      <w:r w:rsidRPr="00102AEE">
        <w:rPr>
          <w:rFonts w:ascii="Times New Roman" w:hAnsi="Times New Roman"/>
        </w:rPr>
        <w:t>không vượt quá số tiền</w:t>
      </w:r>
      <w:r w:rsidRPr="00102AEE">
        <w:rPr>
          <w:rFonts w:ascii="Times New Roman" w:hAnsi="Times New Roman"/>
          <w:lang w:val="en-US"/>
        </w:rPr>
        <w:t xml:space="preserve"> bảo hiểm</w:t>
      </w:r>
      <w:r w:rsidRPr="00102AEE">
        <w:rPr>
          <w:rFonts w:ascii="Times New Roman" w:hAnsi="Times New Roman"/>
        </w:rPr>
        <w:t xml:space="preserve"> tương ứng của hạng mục </w:t>
      </w:r>
      <w:r w:rsidRPr="00102AEE">
        <w:rPr>
          <w:rFonts w:ascii="Times New Roman" w:hAnsi="Times New Roman"/>
          <w:lang w:val="en-US"/>
        </w:rPr>
        <w:t xml:space="preserve">được ghi trong Giấy chứng nhận bảo </w:t>
      </w:r>
      <w:r w:rsidRPr="00102AEE">
        <w:rPr>
          <w:rFonts w:ascii="Times New Roman" w:hAnsi="Times New Roman"/>
          <w:lang w:val="en-US"/>
        </w:rPr>
        <w:lastRenderedPageBreak/>
        <w:t>hiểm/ Hợp đồng bảo hiểm và không vượt quá bất kỳ một giới hạn bồi thường nào khác (nếu áp dụng),</w:t>
      </w:r>
      <w:r w:rsidRPr="00102AEE">
        <w:rPr>
          <w:rFonts w:ascii="Times New Roman" w:hAnsi="Times New Roman"/>
        </w:rPr>
        <w:t xml:space="preserve"> và </w:t>
      </w:r>
      <w:r w:rsidRPr="00102AEE">
        <w:rPr>
          <w:rFonts w:ascii="Times New Roman" w:hAnsi="Times New Roman"/>
          <w:lang w:val="en-US"/>
        </w:rPr>
        <w:t>không vượt quá tổng số tiền bảo hiểm ghi trong Giấy chứng nhận bảo hiểm/Hợp đồng bảo hiểm.</w:t>
      </w:r>
    </w:p>
    <w:p w:rsidR="00102AEE" w:rsidRPr="00102AEE" w:rsidRDefault="00102AEE" w:rsidP="00102AEE">
      <w:pPr>
        <w:tabs>
          <w:tab w:val="left" w:pos="8190"/>
        </w:tabs>
        <w:autoSpaceDE/>
        <w:autoSpaceDN/>
        <w:spacing w:before="120" w:line="360" w:lineRule="atLeast"/>
        <w:jc w:val="both"/>
        <w:rPr>
          <w:rFonts w:ascii="Times New Roman" w:hAnsi="Times New Roman"/>
        </w:rPr>
      </w:pPr>
      <w:r w:rsidRPr="00102AEE">
        <w:rPr>
          <w:rFonts w:ascii="Times New Roman" w:hAnsi="Times New Roman"/>
          <w:b/>
          <w:bCs/>
        </w:rPr>
        <w:t>CÁC ĐIỂM LOẠI TRỪ</w:t>
      </w:r>
      <w:r w:rsidRPr="00102AEE">
        <w:rPr>
          <w:rFonts w:ascii="Times New Roman" w:hAnsi="Times New Roman"/>
        </w:rPr>
        <w:t>:</w:t>
      </w:r>
    </w:p>
    <w:p w:rsidR="00102AEE" w:rsidRPr="00102AEE" w:rsidRDefault="00102AEE" w:rsidP="00102AEE">
      <w:pPr>
        <w:autoSpaceDE/>
        <w:autoSpaceDN/>
        <w:spacing w:before="120" w:line="360" w:lineRule="atLeast"/>
        <w:jc w:val="both"/>
        <w:rPr>
          <w:rFonts w:ascii="Times New Roman" w:hAnsi="Times New Roman"/>
        </w:rPr>
      </w:pPr>
      <w:r w:rsidRPr="00102AEE">
        <w:rPr>
          <w:rFonts w:ascii="Times New Roman" w:hAnsi="Times New Roman"/>
        </w:rPr>
        <w:t xml:space="preserve">PJICO sẽ không </w:t>
      </w:r>
      <w:r w:rsidRPr="00102AEE">
        <w:rPr>
          <w:rFonts w:ascii="Times New Roman" w:hAnsi="Times New Roman"/>
          <w:lang w:val="en-US"/>
        </w:rPr>
        <w:t xml:space="preserve">bồi thường cho Người được bảo hiểm </w:t>
      </w:r>
      <w:r w:rsidRPr="00102AEE">
        <w:rPr>
          <w:rFonts w:ascii="Times New Roman" w:hAnsi="Times New Roman"/>
        </w:rPr>
        <w:t>đối với:</w:t>
      </w:r>
    </w:p>
    <w:p w:rsidR="00102AEE" w:rsidRPr="00102AEE" w:rsidRDefault="00102AEE" w:rsidP="00102AEE">
      <w:pPr>
        <w:numPr>
          <w:ilvl w:val="0"/>
          <w:numId w:val="2"/>
        </w:numPr>
        <w:autoSpaceDE/>
        <w:autoSpaceDN/>
        <w:spacing w:before="120" w:line="360" w:lineRule="atLeast"/>
        <w:jc w:val="both"/>
        <w:rPr>
          <w:rFonts w:ascii="Times New Roman" w:hAnsi="Times New Roman"/>
        </w:rPr>
      </w:pPr>
      <w:r w:rsidRPr="00102AEE">
        <w:rPr>
          <w:rFonts w:ascii="Times New Roman" w:hAnsi="Times New Roman"/>
        </w:rPr>
        <w:t xml:space="preserve">Mức khấu trừ quy định trong Giấy </w:t>
      </w:r>
      <w:r w:rsidRPr="00102AEE">
        <w:rPr>
          <w:rFonts w:ascii="Times New Roman" w:hAnsi="Times New Roman"/>
          <w:lang w:val="en-US"/>
        </w:rPr>
        <w:t>c</w:t>
      </w:r>
      <w:r w:rsidRPr="00102AEE">
        <w:rPr>
          <w:rFonts w:ascii="Times New Roman" w:hAnsi="Times New Roman"/>
        </w:rPr>
        <w:t xml:space="preserve">hứng </w:t>
      </w:r>
      <w:r w:rsidRPr="00102AEE">
        <w:rPr>
          <w:rFonts w:ascii="Times New Roman" w:hAnsi="Times New Roman"/>
          <w:lang w:val="en-US"/>
        </w:rPr>
        <w:t>n</w:t>
      </w:r>
      <w:r w:rsidRPr="00102AEE">
        <w:rPr>
          <w:rFonts w:ascii="Times New Roman" w:hAnsi="Times New Roman"/>
        </w:rPr>
        <w:t xml:space="preserve">hận </w:t>
      </w:r>
      <w:r w:rsidRPr="00102AEE">
        <w:rPr>
          <w:rFonts w:ascii="Times New Roman" w:hAnsi="Times New Roman"/>
          <w:lang w:val="en-US"/>
        </w:rPr>
        <w:t>b</w:t>
      </w:r>
      <w:r w:rsidRPr="00102AEE">
        <w:rPr>
          <w:rFonts w:ascii="Times New Roman" w:hAnsi="Times New Roman"/>
        </w:rPr>
        <w:t xml:space="preserve">ảo </w:t>
      </w:r>
      <w:r w:rsidRPr="00102AEE">
        <w:rPr>
          <w:rFonts w:ascii="Times New Roman" w:hAnsi="Times New Roman"/>
          <w:lang w:val="en-US"/>
        </w:rPr>
        <w:t>h</w:t>
      </w:r>
      <w:r w:rsidRPr="00102AEE">
        <w:rPr>
          <w:rFonts w:ascii="Times New Roman" w:hAnsi="Times New Roman"/>
        </w:rPr>
        <w:t>iểm</w:t>
      </w:r>
      <w:r w:rsidRPr="00102AEE">
        <w:rPr>
          <w:rFonts w:ascii="Times New Roman" w:hAnsi="Times New Roman"/>
          <w:lang w:val="en-US"/>
        </w:rPr>
        <w:t>/Hợp đồng bảo hiểm</w:t>
      </w:r>
      <w:r w:rsidRPr="00102AEE">
        <w:rPr>
          <w:rFonts w:ascii="Times New Roman" w:hAnsi="Times New Roman"/>
        </w:rPr>
        <w:t xml:space="preserve"> mà Người được bảo hiểm phải tự chịu trong m</w:t>
      </w:r>
      <w:r w:rsidRPr="00102AEE">
        <w:rPr>
          <w:rFonts w:ascii="Times New Roman" w:hAnsi="Times New Roman"/>
          <w:lang w:val="en-US"/>
        </w:rPr>
        <w:t>ỗi</w:t>
      </w:r>
      <w:r w:rsidRPr="00102AEE">
        <w:rPr>
          <w:rFonts w:ascii="Times New Roman" w:hAnsi="Times New Roman"/>
        </w:rPr>
        <w:t xml:space="preserve"> sự cố;</w:t>
      </w:r>
    </w:p>
    <w:p w:rsidR="00102AEE" w:rsidRPr="00102AEE" w:rsidRDefault="00102AEE" w:rsidP="00102AEE">
      <w:pPr>
        <w:numPr>
          <w:ilvl w:val="0"/>
          <w:numId w:val="2"/>
        </w:numPr>
        <w:autoSpaceDE/>
        <w:autoSpaceDN/>
        <w:spacing w:before="120" w:line="360" w:lineRule="atLeast"/>
        <w:jc w:val="both"/>
        <w:rPr>
          <w:rFonts w:ascii="Times New Roman" w:hAnsi="Times New Roman"/>
        </w:rPr>
      </w:pPr>
      <w:r w:rsidRPr="00102AEE">
        <w:rPr>
          <w:rFonts w:ascii="Times New Roman" w:hAnsi="Times New Roman"/>
        </w:rPr>
        <w:t>Tổn thất</w:t>
      </w:r>
      <w:r w:rsidRPr="00102AEE">
        <w:rPr>
          <w:rFonts w:ascii="Times New Roman" w:hAnsi="Times New Roman"/>
          <w:lang w:val="en-US"/>
        </w:rPr>
        <w:t xml:space="preserve"> hay thiệt hại </w:t>
      </w:r>
      <w:r w:rsidRPr="00102AEE">
        <w:rPr>
          <w:rFonts w:ascii="Times New Roman" w:hAnsi="Times New Roman"/>
        </w:rPr>
        <w:t xml:space="preserve">trực tiếp hay gián tiếp gây ra bởi hay </w:t>
      </w:r>
      <w:r w:rsidRPr="00102AEE">
        <w:rPr>
          <w:rFonts w:ascii="Times New Roman" w:hAnsi="Times New Roman"/>
          <w:lang w:val="en-US"/>
        </w:rPr>
        <w:t>phát</w:t>
      </w:r>
      <w:r w:rsidRPr="00102AEE">
        <w:rPr>
          <w:rFonts w:ascii="Times New Roman" w:hAnsi="Times New Roman"/>
        </w:rPr>
        <w:t xml:space="preserve"> sinh từ hay làm trầm trọng thêm bởi:</w:t>
      </w:r>
    </w:p>
    <w:p w:rsidR="00102AEE" w:rsidRPr="00102AEE" w:rsidRDefault="00102AEE" w:rsidP="00102AEE">
      <w:pPr>
        <w:numPr>
          <w:ilvl w:val="0"/>
          <w:numId w:val="3"/>
        </w:numPr>
        <w:tabs>
          <w:tab w:val="left" w:pos="1134"/>
        </w:tabs>
        <w:autoSpaceDE/>
        <w:autoSpaceDN/>
        <w:spacing w:before="120" w:line="360" w:lineRule="atLeast"/>
        <w:ind w:left="1134" w:hanging="567"/>
        <w:jc w:val="both"/>
        <w:rPr>
          <w:rFonts w:ascii="Times New Roman" w:hAnsi="Times New Roman"/>
        </w:rPr>
      </w:pPr>
      <w:r w:rsidRPr="00102AEE">
        <w:rPr>
          <w:rFonts w:ascii="Times New Roman" w:hAnsi="Times New Roman"/>
        </w:rPr>
        <w:t>chiến tranh, xâm lược, hành động thù địch của nước ngoài</w:t>
      </w:r>
      <w:r w:rsidRPr="00102AEE">
        <w:rPr>
          <w:rFonts w:ascii="Times New Roman" w:hAnsi="Times New Roman"/>
          <w:lang w:val="en-US"/>
        </w:rPr>
        <w:t>, chiến sự</w:t>
      </w:r>
      <w:r w:rsidRPr="00102AEE">
        <w:rPr>
          <w:rFonts w:ascii="Times New Roman" w:hAnsi="Times New Roman"/>
        </w:rPr>
        <w:t xml:space="preserve"> (dù có tuyên chiến hay không), nội chiến, bạo loạn, cách mạng, khởi ngh</w:t>
      </w:r>
      <w:r w:rsidRPr="00102AEE">
        <w:rPr>
          <w:rFonts w:ascii="Times New Roman" w:hAnsi="Times New Roman"/>
          <w:lang w:val="en-US"/>
        </w:rPr>
        <w:t>ĩa</w:t>
      </w:r>
      <w:r w:rsidRPr="00102AEE">
        <w:rPr>
          <w:rFonts w:ascii="Times New Roman" w:hAnsi="Times New Roman"/>
        </w:rPr>
        <w:t xml:space="preserve">, binh biến, nổi loạn, đình công, bãi công, bế xưởng, bạo động của quần chúng, hành động quân sự hay </w:t>
      </w:r>
      <w:r w:rsidRPr="00102AEE">
        <w:rPr>
          <w:rFonts w:ascii="Times New Roman" w:hAnsi="Times New Roman"/>
          <w:lang w:val="en-US"/>
        </w:rPr>
        <w:t xml:space="preserve">lực lượng </w:t>
      </w:r>
      <w:r w:rsidRPr="00102AEE">
        <w:rPr>
          <w:rFonts w:ascii="Times New Roman" w:hAnsi="Times New Roman"/>
        </w:rPr>
        <w:t>tiếm quyền, hành động của nhóm người</w:t>
      </w:r>
      <w:r w:rsidRPr="00102AEE">
        <w:rPr>
          <w:rFonts w:ascii="Times New Roman" w:hAnsi="Times New Roman"/>
          <w:lang w:val="en-US"/>
        </w:rPr>
        <w:t xml:space="preserve"> hay những người thù địch đại diện hay có liên quan đến các </w:t>
      </w:r>
      <w:r w:rsidRPr="00102AEE">
        <w:rPr>
          <w:rFonts w:ascii="Times New Roman" w:hAnsi="Times New Roman"/>
        </w:rPr>
        <w:t xml:space="preserve">tổ chức chính trị nào, tịch </w:t>
      </w:r>
      <w:r w:rsidRPr="00102AEE">
        <w:rPr>
          <w:rFonts w:ascii="Times New Roman" w:hAnsi="Times New Roman"/>
          <w:lang w:val="en-US"/>
        </w:rPr>
        <w:t xml:space="preserve">biên, tịch </w:t>
      </w:r>
      <w:r w:rsidRPr="00102AEE">
        <w:rPr>
          <w:rFonts w:ascii="Times New Roman" w:hAnsi="Times New Roman"/>
        </w:rPr>
        <w:t xml:space="preserve">thu hay phá hủy theo lệnh của </w:t>
      </w:r>
      <w:r w:rsidRPr="00102AEE">
        <w:rPr>
          <w:rFonts w:ascii="Times New Roman" w:hAnsi="Times New Roman"/>
          <w:lang w:val="en-US"/>
        </w:rPr>
        <w:t>chính phủ</w:t>
      </w:r>
      <w:r w:rsidRPr="00102AEE">
        <w:rPr>
          <w:rFonts w:ascii="Times New Roman" w:hAnsi="Times New Roman"/>
        </w:rPr>
        <w:t xml:space="preserve"> hợp pháp </w:t>
      </w:r>
      <w:r w:rsidRPr="00102AEE">
        <w:rPr>
          <w:rFonts w:ascii="Times New Roman" w:hAnsi="Times New Roman"/>
          <w:lang w:val="en-US"/>
        </w:rPr>
        <w:t>hay chính phủ thực tế tồn tại (de jure or de factor)</w:t>
      </w:r>
      <w:r w:rsidRPr="00102AEE">
        <w:rPr>
          <w:rFonts w:ascii="Times New Roman" w:hAnsi="Times New Roman"/>
        </w:rPr>
        <w:t xml:space="preserve"> hoặc theo lệnh của bất kỳ </w:t>
      </w:r>
      <w:r w:rsidRPr="00102AEE">
        <w:rPr>
          <w:rFonts w:ascii="Times New Roman" w:hAnsi="Times New Roman"/>
          <w:lang w:val="en-US"/>
        </w:rPr>
        <w:t>tổ chức chính quyền</w:t>
      </w:r>
      <w:r w:rsidRPr="00102AEE">
        <w:rPr>
          <w:rFonts w:ascii="Times New Roman" w:hAnsi="Times New Roman"/>
        </w:rPr>
        <w:t xml:space="preserve"> nào;</w:t>
      </w:r>
    </w:p>
    <w:p w:rsidR="00102AEE" w:rsidRPr="00102AEE" w:rsidRDefault="00102AEE" w:rsidP="00102AEE">
      <w:pPr>
        <w:numPr>
          <w:ilvl w:val="0"/>
          <w:numId w:val="3"/>
        </w:numPr>
        <w:tabs>
          <w:tab w:val="left" w:pos="1134"/>
        </w:tabs>
        <w:autoSpaceDE/>
        <w:autoSpaceDN/>
        <w:spacing w:before="120" w:line="360" w:lineRule="atLeast"/>
        <w:ind w:left="1134" w:hanging="567"/>
        <w:jc w:val="both"/>
        <w:rPr>
          <w:rFonts w:ascii="Times New Roman" w:hAnsi="Times New Roman"/>
        </w:rPr>
      </w:pPr>
      <w:r w:rsidRPr="00102AEE">
        <w:rPr>
          <w:rFonts w:ascii="Times New Roman" w:hAnsi="Times New Roman"/>
        </w:rPr>
        <w:t xml:space="preserve">Phản ứng hạt nhân, bức xạ hạt nhân hay nhiễm phóng xạ; </w:t>
      </w:r>
    </w:p>
    <w:p w:rsidR="00102AEE" w:rsidRPr="00102AEE" w:rsidRDefault="00102AEE" w:rsidP="00102AEE">
      <w:pPr>
        <w:numPr>
          <w:ilvl w:val="0"/>
          <w:numId w:val="3"/>
        </w:numPr>
        <w:tabs>
          <w:tab w:val="left" w:pos="1134"/>
        </w:tabs>
        <w:autoSpaceDE/>
        <w:autoSpaceDN/>
        <w:spacing w:before="120" w:line="360" w:lineRule="atLeast"/>
        <w:ind w:left="1134" w:hanging="567"/>
        <w:jc w:val="both"/>
        <w:rPr>
          <w:rFonts w:ascii="Times New Roman" w:hAnsi="Times New Roman"/>
        </w:rPr>
      </w:pPr>
      <w:r w:rsidRPr="00102AEE">
        <w:rPr>
          <w:rFonts w:ascii="Times New Roman" w:hAnsi="Times New Roman"/>
        </w:rPr>
        <w:t>Hành động cố ý hay cố tình sơ xuất của Người được bảo hiểm hay đại diện của họ;</w:t>
      </w:r>
    </w:p>
    <w:p w:rsidR="00102AEE" w:rsidRPr="00102AEE" w:rsidRDefault="00102AEE" w:rsidP="00102AEE">
      <w:pPr>
        <w:autoSpaceDE/>
        <w:autoSpaceDN/>
        <w:spacing w:before="120" w:line="360" w:lineRule="atLeast"/>
        <w:ind w:left="567"/>
        <w:jc w:val="both"/>
        <w:rPr>
          <w:rFonts w:ascii="Times New Roman" w:hAnsi="Times New Roman"/>
        </w:rPr>
      </w:pPr>
      <w:r w:rsidRPr="00102AEE">
        <w:rPr>
          <w:rFonts w:ascii="Times New Roman" w:hAnsi="Times New Roman"/>
        </w:rPr>
        <w:t xml:space="preserve">Trong các trường hợp khiếu tố, </w:t>
      </w:r>
      <w:r w:rsidRPr="00102AEE">
        <w:rPr>
          <w:rFonts w:ascii="Times New Roman" w:hAnsi="Times New Roman"/>
          <w:lang w:val="en-US"/>
        </w:rPr>
        <w:t>kiện tụng</w:t>
      </w:r>
      <w:r w:rsidRPr="00102AEE">
        <w:rPr>
          <w:rFonts w:ascii="Times New Roman" w:hAnsi="Times New Roman"/>
        </w:rPr>
        <w:t xml:space="preserve"> hay kiện </w:t>
      </w:r>
      <w:r w:rsidRPr="00102AEE">
        <w:rPr>
          <w:rFonts w:ascii="Times New Roman" w:hAnsi="Times New Roman"/>
          <w:lang w:val="en-US"/>
        </w:rPr>
        <w:t xml:space="preserve">cáo </w:t>
      </w:r>
      <w:r w:rsidRPr="00102AEE">
        <w:rPr>
          <w:rFonts w:ascii="Times New Roman" w:hAnsi="Times New Roman"/>
        </w:rPr>
        <w:t xml:space="preserve">mà PJICO cho </w:t>
      </w:r>
      <w:r w:rsidRPr="00102AEE">
        <w:rPr>
          <w:rFonts w:ascii="Times New Roman" w:hAnsi="Times New Roman"/>
          <w:lang w:val="en-US"/>
        </w:rPr>
        <w:t xml:space="preserve">là thuộc </w:t>
      </w:r>
      <w:r w:rsidRPr="00102AEE">
        <w:rPr>
          <w:rFonts w:ascii="Times New Roman" w:hAnsi="Times New Roman"/>
        </w:rPr>
        <w:t xml:space="preserve">điểm loại trừ (a) nói trên mà </w:t>
      </w:r>
      <w:r w:rsidRPr="00102AEE">
        <w:rPr>
          <w:rFonts w:ascii="Times New Roman" w:hAnsi="Times New Roman"/>
          <w:lang w:val="en-US"/>
        </w:rPr>
        <w:t>các tổn thất, thiệt hại hay trách nhiệm không được bồi thường theo</w:t>
      </w:r>
      <w:r w:rsidRPr="00102AEE">
        <w:rPr>
          <w:rFonts w:ascii="Times New Roman" w:hAnsi="Times New Roman"/>
        </w:rPr>
        <w:t xml:space="preserve"> </w:t>
      </w:r>
      <w:r w:rsidRPr="00102AEE">
        <w:rPr>
          <w:rFonts w:ascii="Times New Roman" w:hAnsi="Times New Roman"/>
          <w:lang w:val="en-US"/>
        </w:rPr>
        <w:t>Quy tắc bảo hiểm này</w:t>
      </w:r>
      <w:r w:rsidRPr="00102AEE">
        <w:rPr>
          <w:rFonts w:ascii="Times New Roman" w:hAnsi="Times New Roman"/>
        </w:rPr>
        <w:t xml:space="preserve"> thì việc chứng minh rằng các tổn thất</w:t>
      </w:r>
      <w:r w:rsidRPr="00102AEE">
        <w:rPr>
          <w:rFonts w:ascii="Times New Roman" w:hAnsi="Times New Roman"/>
          <w:lang w:val="en-US"/>
        </w:rPr>
        <w:t>, thiệt hai</w:t>
      </w:r>
      <w:r w:rsidRPr="00102AEE">
        <w:rPr>
          <w:rFonts w:ascii="Times New Roman" w:hAnsi="Times New Roman"/>
        </w:rPr>
        <w:t xml:space="preserve"> hay trách nhiệm đó thuộc trách nhiệm bảo hiểm là nghĩa vụ của Người được bảo hiểm.</w:t>
      </w:r>
    </w:p>
    <w:p w:rsidR="00102AEE" w:rsidRPr="00102AEE" w:rsidRDefault="00102AEE" w:rsidP="00102AEE">
      <w:pPr>
        <w:numPr>
          <w:ilvl w:val="0"/>
          <w:numId w:val="2"/>
        </w:numPr>
        <w:autoSpaceDE/>
        <w:autoSpaceDN/>
        <w:spacing w:before="120" w:line="360" w:lineRule="atLeast"/>
        <w:jc w:val="both"/>
        <w:rPr>
          <w:rFonts w:ascii="Times New Roman" w:hAnsi="Times New Roman"/>
        </w:rPr>
      </w:pPr>
      <w:r w:rsidRPr="00102AEE">
        <w:rPr>
          <w:rFonts w:ascii="Times New Roman" w:hAnsi="Times New Roman"/>
        </w:rPr>
        <w:t>Tổn thất</w:t>
      </w:r>
      <w:r w:rsidRPr="00102AEE">
        <w:rPr>
          <w:rFonts w:ascii="Times New Roman" w:hAnsi="Times New Roman"/>
          <w:lang w:val="en-US"/>
        </w:rPr>
        <w:t xml:space="preserve"> hoặc</w:t>
      </w:r>
      <w:r w:rsidRPr="00102AEE">
        <w:rPr>
          <w:rFonts w:ascii="Times New Roman" w:hAnsi="Times New Roman"/>
        </w:rPr>
        <w:t xml:space="preserve"> </w:t>
      </w:r>
      <w:r w:rsidRPr="00102AEE">
        <w:rPr>
          <w:rFonts w:ascii="Times New Roman" w:hAnsi="Times New Roman"/>
          <w:lang w:val="en-US"/>
        </w:rPr>
        <w:t>thiệt hại</w:t>
      </w:r>
      <w:r w:rsidRPr="00102AEE">
        <w:rPr>
          <w:rFonts w:ascii="Times New Roman" w:hAnsi="Times New Roman"/>
        </w:rPr>
        <w:t xml:space="preserve"> hay phí tổn gây ra bởi hay </w:t>
      </w:r>
      <w:r w:rsidRPr="00102AEE">
        <w:rPr>
          <w:rFonts w:ascii="Times New Roman" w:hAnsi="Times New Roman"/>
          <w:lang w:val="en-US"/>
        </w:rPr>
        <w:t>phát</w:t>
      </w:r>
      <w:r w:rsidRPr="00102AEE">
        <w:rPr>
          <w:rFonts w:ascii="Times New Roman" w:hAnsi="Times New Roman"/>
        </w:rPr>
        <w:t xml:space="preserve"> sinh từ hay làm trầm trọng thêm bởi các khuyết tật vốn có, hao mòn, mài mòn</w:t>
      </w:r>
      <w:r w:rsidRPr="00102AEE">
        <w:rPr>
          <w:rFonts w:ascii="Times New Roman" w:hAnsi="Times New Roman"/>
          <w:lang w:val="en-US"/>
        </w:rPr>
        <w:t>, hư hỏng dần dần, co giãn của các hạng mục</w:t>
      </w:r>
      <w:r w:rsidRPr="00102AEE">
        <w:rPr>
          <w:rFonts w:ascii="Times New Roman" w:hAnsi="Times New Roman"/>
        </w:rPr>
        <w:t xml:space="preserve"> được bảo hiểm do thay đổi nhiệt độ; </w:t>
      </w:r>
    </w:p>
    <w:p w:rsidR="00102AEE" w:rsidRPr="00102AEE" w:rsidRDefault="00102AEE" w:rsidP="00102AEE">
      <w:pPr>
        <w:numPr>
          <w:ilvl w:val="0"/>
          <w:numId w:val="2"/>
        </w:numPr>
        <w:autoSpaceDE/>
        <w:autoSpaceDN/>
        <w:spacing w:before="120" w:line="360" w:lineRule="atLeast"/>
        <w:jc w:val="both"/>
        <w:rPr>
          <w:rFonts w:ascii="Times New Roman" w:hAnsi="Times New Roman"/>
        </w:rPr>
      </w:pPr>
      <w:r w:rsidRPr="00102AEE">
        <w:rPr>
          <w:rFonts w:ascii="Times New Roman" w:hAnsi="Times New Roman"/>
        </w:rPr>
        <w:t>Tổn thất</w:t>
      </w:r>
      <w:r w:rsidRPr="00102AEE">
        <w:rPr>
          <w:rFonts w:ascii="Times New Roman" w:hAnsi="Times New Roman"/>
          <w:lang w:val="en-US"/>
        </w:rPr>
        <w:t xml:space="preserve"> hay thiệt hại</w:t>
      </w:r>
      <w:r w:rsidRPr="00102AEE">
        <w:rPr>
          <w:rFonts w:ascii="Times New Roman" w:hAnsi="Times New Roman"/>
        </w:rPr>
        <w:t xml:space="preserve"> gây ra bởi hay </w:t>
      </w:r>
      <w:r w:rsidRPr="00102AEE">
        <w:rPr>
          <w:rFonts w:ascii="Times New Roman" w:hAnsi="Times New Roman"/>
          <w:lang w:val="en-US"/>
        </w:rPr>
        <w:t>phát</w:t>
      </w:r>
      <w:r w:rsidRPr="00102AEE">
        <w:rPr>
          <w:rFonts w:ascii="Times New Roman" w:hAnsi="Times New Roman"/>
        </w:rPr>
        <w:t xml:space="preserve"> sinh từ hay làm trầm trọng thêm do Người được bảo hiểm không giữ gìn</w:t>
      </w:r>
      <w:r w:rsidRPr="00102AEE">
        <w:rPr>
          <w:rFonts w:ascii="Times New Roman" w:hAnsi="Times New Roman"/>
          <w:lang w:val="en-US"/>
        </w:rPr>
        <w:t xml:space="preserve"> và</w:t>
      </w:r>
      <w:r w:rsidRPr="00102AEE">
        <w:rPr>
          <w:rFonts w:ascii="Times New Roman" w:hAnsi="Times New Roman"/>
        </w:rPr>
        <w:t xml:space="preserve"> bảo quản </w:t>
      </w:r>
      <w:r w:rsidRPr="00102AEE">
        <w:rPr>
          <w:rFonts w:ascii="Times New Roman" w:hAnsi="Times New Roman"/>
          <w:lang w:val="en-US"/>
        </w:rPr>
        <w:t>các hạng mục được bảo hiểm một cách chu đáo trong quá trình sửa chữa</w:t>
      </w:r>
      <w:r w:rsidRPr="00102AEE">
        <w:rPr>
          <w:rFonts w:ascii="Times New Roman" w:hAnsi="Times New Roman"/>
        </w:rPr>
        <w:t>;</w:t>
      </w:r>
    </w:p>
    <w:p w:rsidR="00102AEE" w:rsidRPr="00102AEE" w:rsidRDefault="00102AEE" w:rsidP="00102AEE">
      <w:pPr>
        <w:numPr>
          <w:ilvl w:val="0"/>
          <w:numId w:val="2"/>
        </w:numPr>
        <w:autoSpaceDE/>
        <w:autoSpaceDN/>
        <w:spacing w:before="120" w:line="360" w:lineRule="atLeast"/>
        <w:ind w:left="567" w:hanging="567"/>
        <w:jc w:val="both"/>
        <w:rPr>
          <w:rFonts w:ascii="Times New Roman" w:hAnsi="Times New Roman"/>
        </w:rPr>
      </w:pPr>
      <w:r w:rsidRPr="00102AEE">
        <w:rPr>
          <w:rFonts w:ascii="Times New Roman" w:hAnsi="Times New Roman"/>
        </w:rPr>
        <w:t>Tổn thất</w:t>
      </w:r>
      <w:r w:rsidRPr="00102AEE">
        <w:rPr>
          <w:rFonts w:ascii="Times New Roman" w:hAnsi="Times New Roman"/>
          <w:lang w:val="en-US"/>
        </w:rPr>
        <w:t xml:space="preserve"> hay thiệt hại</w:t>
      </w:r>
      <w:r w:rsidRPr="00102AEE">
        <w:rPr>
          <w:rFonts w:ascii="Times New Roman" w:hAnsi="Times New Roman"/>
        </w:rPr>
        <w:t xml:space="preserve"> hậu quả dưới mọi hình thức.</w:t>
      </w:r>
    </w:p>
    <w:p w:rsidR="00102AEE" w:rsidRPr="00102AEE" w:rsidRDefault="00102AEE" w:rsidP="00102AEE">
      <w:pPr>
        <w:autoSpaceDE/>
        <w:autoSpaceDN/>
        <w:spacing w:before="120" w:line="360" w:lineRule="atLeast"/>
        <w:jc w:val="both"/>
        <w:rPr>
          <w:rFonts w:ascii="Times New Roman" w:hAnsi="Times New Roman"/>
          <w:lang w:val="en-US"/>
        </w:rPr>
      </w:pPr>
      <w:r w:rsidRPr="00102AEE">
        <w:rPr>
          <w:rFonts w:ascii="Times New Roman" w:hAnsi="Times New Roman"/>
          <w:b/>
          <w:bCs/>
          <w:lang w:val="en-GB"/>
        </w:rPr>
        <w:t>ĐIỀU KIỆN CHUNG</w:t>
      </w:r>
      <w:r w:rsidRPr="00102AEE">
        <w:rPr>
          <w:rFonts w:ascii="Times New Roman" w:hAnsi="Times New Roman"/>
          <w:lang w:val="en-GB"/>
        </w:rPr>
        <w:t>:</w:t>
      </w:r>
    </w:p>
    <w:p w:rsidR="00102AEE" w:rsidRPr="00102AEE" w:rsidRDefault="00102AEE" w:rsidP="00102AEE">
      <w:pPr>
        <w:numPr>
          <w:ilvl w:val="0"/>
          <w:numId w:val="4"/>
        </w:numPr>
        <w:autoSpaceDE/>
        <w:autoSpaceDN/>
        <w:spacing w:before="120" w:line="360" w:lineRule="atLeast"/>
        <w:jc w:val="both"/>
        <w:rPr>
          <w:rFonts w:ascii="Times New Roman" w:hAnsi="Times New Roman"/>
          <w:lang w:val="en-GB"/>
        </w:rPr>
      </w:pPr>
      <w:r w:rsidRPr="00102AEE">
        <w:rPr>
          <w:rFonts w:ascii="Times New Roman" w:hAnsi="Times New Roman"/>
          <w:lang w:val="en-GB"/>
        </w:rPr>
        <w:t xml:space="preserve">Việc Người được bảo hiểm tuân thủ và chấp hành đúng theo các điều kiện của Quy tắc bảo hiểm này đối với những việc mà Người được bảo hiểm có nghĩa vụ phải làm hay thực hiện và sự trung thực trong việc khai báo, trả lời các câu hỏi trong Bản câu </w:t>
      </w:r>
      <w:r w:rsidRPr="00102AEE">
        <w:rPr>
          <w:rFonts w:ascii="Times New Roman" w:hAnsi="Times New Roman"/>
          <w:lang w:val="en-GB"/>
        </w:rPr>
        <w:lastRenderedPageBreak/>
        <w:t>hỏi và Giấy yêu cầu bảo hiểm sẽ là điều kiện tiên quyết rằng buộc trách nhiệm bồi thường của PJICO.</w:t>
      </w:r>
    </w:p>
    <w:p w:rsidR="00102AEE" w:rsidRPr="00102AEE" w:rsidRDefault="00102AEE" w:rsidP="00102AEE">
      <w:pPr>
        <w:numPr>
          <w:ilvl w:val="0"/>
          <w:numId w:val="4"/>
        </w:numPr>
        <w:autoSpaceDE/>
        <w:autoSpaceDN/>
        <w:spacing w:before="120" w:line="360" w:lineRule="atLeast"/>
        <w:jc w:val="both"/>
        <w:rPr>
          <w:rFonts w:ascii="Times New Roman" w:hAnsi="Times New Roman"/>
          <w:lang w:val="en-GB"/>
        </w:rPr>
      </w:pPr>
      <w:r w:rsidRPr="00102AEE">
        <w:rPr>
          <w:rFonts w:ascii="Times New Roman" w:hAnsi="Times New Roman"/>
          <w:lang w:val="en-GB"/>
        </w:rPr>
        <w:t>Giấy chứng nhận bảo hiểm/Hợp đồng bảo hiểm/Sửa đổi bổ sung được xem là một bộ phận cấu thành và không thể tách rời của bộ Hợp đồng bảo hiểm và thuật ngữ bộ Hợp đồng bảo hiểm dù sử dụng ở bất kỳ vị trí nào đều được coi là bao gồm cả Giấy chứng nhận bảo hiểm/Hợp đồng bảo hiểm/Sửa đổi bổ sung. Bất kỳ từ ngữ hay thuật ngữ nào có giải nghĩa kèm theo trong phần nào đó của bộ Hợp đồng bảo hiểm hay trong Giấy chứng nhận bảo hiểm/Hợp đồng bảo hiểm/Sửa đổi bổ sung sẽ luôn luôn mang ý nghĩa đó dù nó xuất hiện ở bất kỳ chỗ nào.</w:t>
      </w:r>
    </w:p>
    <w:p w:rsidR="00102AEE" w:rsidRPr="00102AEE" w:rsidRDefault="00102AEE" w:rsidP="00102AEE">
      <w:pPr>
        <w:numPr>
          <w:ilvl w:val="0"/>
          <w:numId w:val="4"/>
        </w:numPr>
        <w:autoSpaceDE/>
        <w:autoSpaceDN/>
        <w:spacing w:before="120" w:line="360" w:lineRule="atLeast"/>
        <w:jc w:val="both"/>
        <w:rPr>
          <w:rFonts w:ascii="Times New Roman" w:hAnsi="Times New Roman"/>
          <w:lang w:val="en-GB"/>
        </w:rPr>
      </w:pPr>
      <w:r w:rsidRPr="00102AEE">
        <w:rPr>
          <w:rFonts w:ascii="Times New Roman" w:hAnsi="Times New Roman"/>
          <w:lang w:val="en-GB"/>
        </w:rPr>
        <w:t>Người được bảo hiểm, bằng chi phí riêng của mình phải thực hiện mọi biện pháp đề phòng hợp lý và tuân thủ mọi kiến nghị hợp lý của PJICO nhằm ngăn chặn tổn thất hoặc thiệt hại và phải tuân thủ mọi quy định của Pháp luật và khuyến nghị của Nhà sản xuất.</w:t>
      </w:r>
    </w:p>
    <w:p w:rsidR="00102AEE" w:rsidRPr="00102AEE" w:rsidRDefault="00102AEE" w:rsidP="00102AEE">
      <w:pPr>
        <w:numPr>
          <w:ilvl w:val="0"/>
          <w:numId w:val="4"/>
        </w:numPr>
        <w:tabs>
          <w:tab w:val="clear" w:pos="360"/>
          <w:tab w:val="left" w:pos="567"/>
        </w:tabs>
        <w:autoSpaceDE/>
        <w:autoSpaceDN/>
        <w:spacing w:before="120" w:line="360" w:lineRule="atLeast"/>
        <w:ind w:left="1134" w:hanging="1134"/>
        <w:jc w:val="both"/>
        <w:rPr>
          <w:rFonts w:ascii="Times New Roman" w:hAnsi="Times New Roman"/>
          <w:lang w:val="en-GB"/>
        </w:rPr>
      </w:pPr>
      <w:r w:rsidRPr="00102AEE">
        <w:rPr>
          <w:rFonts w:ascii="Times New Roman" w:hAnsi="Times New Roman"/>
          <w:lang w:val="en-GB"/>
        </w:rPr>
        <w:t xml:space="preserve">a. </w:t>
      </w:r>
      <w:r w:rsidRPr="00102AEE">
        <w:rPr>
          <w:rFonts w:ascii="Times New Roman" w:hAnsi="Times New Roman"/>
          <w:lang w:val="en-GB"/>
        </w:rPr>
        <w:tab/>
        <w:t>Đại diện của PJICO có quyền xem xét và kiểm tra rủi ro được bảo hiểm vào bất kỳ thời gian hợp lý nào và Người được bảo hiểm phải có trách nhiệm cung cấp cho đại diện của PJICO đầy đủ các chi tiết và thông tin cần thiết cho việc đánh giá rủi ro bảo hiểm.</w:t>
      </w:r>
    </w:p>
    <w:p w:rsidR="00102AEE" w:rsidRPr="00102AEE" w:rsidRDefault="00102AEE" w:rsidP="00102AEE">
      <w:pPr>
        <w:tabs>
          <w:tab w:val="left" w:pos="567"/>
        </w:tabs>
        <w:autoSpaceDE/>
        <w:autoSpaceDN/>
        <w:spacing w:before="120" w:line="360" w:lineRule="atLeast"/>
        <w:ind w:left="1134" w:hanging="1134"/>
        <w:jc w:val="both"/>
        <w:rPr>
          <w:rFonts w:ascii="Times New Roman" w:hAnsi="Times New Roman"/>
          <w:lang w:val="en-GB"/>
        </w:rPr>
      </w:pPr>
      <w:r w:rsidRPr="00102AEE">
        <w:rPr>
          <w:rFonts w:ascii="Times New Roman" w:hAnsi="Times New Roman"/>
          <w:lang w:val="en-GB"/>
        </w:rPr>
        <w:tab/>
        <w:t xml:space="preserve">b. </w:t>
      </w:r>
      <w:r w:rsidRPr="00102AEE">
        <w:rPr>
          <w:rFonts w:ascii="Times New Roman" w:hAnsi="Times New Roman"/>
          <w:lang w:val="en-GB"/>
        </w:rPr>
        <w:tab/>
        <w:t>Người được bảo hiểm phải lập tức thông báo ngay cho PJICO bằng điện tín hoặc điện thoại và bằng văn bản bất kỳ sự thay đổi quan trọng nào đối với rủi ro được bảo hiểm và bằng chi phí của mình thực hiện bổ sung các biện pháp phòng ngừa cần thiết mà hoàn cảnh yêu cầu và nếu cần thiết thì phạm vi bảo hiểm và/hoặc phí bảo hiểm sẽ được điều chỉnh thích hợp. Người được bảo hiểm không được thực hiện hay chấp nhận bất kỳ một sự thay đổi quan trọng nào làm tăng thêm mức độ rủi ro trừ khi PJICO có văn bản xác nhận tiếp tục hiệu lực của Giấy chứng nhận bảo hiểm/Hợp đồng bảo hiểm.</w:t>
      </w:r>
    </w:p>
    <w:p w:rsidR="00102AEE" w:rsidRPr="00102AEE" w:rsidRDefault="00102AEE" w:rsidP="00102AEE">
      <w:pPr>
        <w:numPr>
          <w:ilvl w:val="0"/>
          <w:numId w:val="4"/>
        </w:numPr>
        <w:autoSpaceDE/>
        <w:autoSpaceDN/>
        <w:spacing w:before="120" w:line="360" w:lineRule="atLeast"/>
        <w:jc w:val="both"/>
        <w:rPr>
          <w:rFonts w:ascii="Times New Roman" w:hAnsi="Times New Roman"/>
          <w:lang w:val="en-GB"/>
        </w:rPr>
      </w:pPr>
      <w:r w:rsidRPr="00102AEE">
        <w:rPr>
          <w:rFonts w:ascii="Times New Roman" w:hAnsi="Times New Roman"/>
          <w:lang w:val="en-GB"/>
        </w:rPr>
        <w:t>Trong trường hợp xảy bất cứ sự cố nào có thể dẫn tới việc đòi bồi thường theo Quy tắc bảo hiểm này, Người được bảo hiểm phải:</w:t>
      </w:r>
    </w:p>
    <w:p w:rsidR="00102AEE" w:rsidRPr="00102AEE" w:rsidRDefault="00102AEE" w:rsidP="00102AEE">
      <w:pPr>
        <w:numPr>
          <w:ilvl w:val="0"/>
          <w:numId w:val="5"/>
        </w:numPr>
        <w:tabs>
          <w:tab w:val="left" w:pos="1134"/>
        </w:tabs>
        <w:autoSpaceDE/>
        <w:autoSpaceDN/>
        <w:spacing w:before="120" w:line="360" w:lineRule="atLeast"/>
        <w:ind w:left="1134" w:hanging="567"/>
        <w:jc w:val="both"/>
        <w:rPr>
          <w:rFonts w:ascii="Times New Roman" w:hAnsi="Times New Roman"/>
          <w:lang w:val="en-GB"/>
        </w:rPr>
      </w:pPr>
      <w:r w:rsidRPr="00102AEE">
        <w:rPr>
          <w:rFonts w:ascii="Times New Roman" w:hAnsi="Times New Roman"/>
          <w:lang w:val="en-GB"/>
        </w:rPr>
        <w:t>lập tức thông báo cho PJICO bằng điện thoại hoặc điện tín cũng như bằng văn bản nêu rõ tính chất và mức độ tổn thất hoặc thiệt hại;</w:t>
      </w:r>
    </w:p>
    <w:p w:rsidR="00102AEE" w:rsidRPr="00102AEE" w:rsidRDefault="00102AEE" w:rsidP="00102AEE">
      <w:pPr>
        <w:numPr>
          <w:ilvl w:val="0"/>
          <w:numId w:val="5"/>
        </w:numPr>
        <w:tabs>
          <w:tab w:val="left" w:pos="1134"/>
        </w:tabs>
        <w:autoSpaceDE/>
        <w:autoSpaceDN/>
        <w:spacing w:before="120" w:line="360" w:lineRule="atLeast"/>
        <w:ind w:left="1134" w:hanging="567"/>
        <w:jc w:val="both"/>
        <w:rPr>
          <w:rFonts w:ascii="Times New Roman" w:hAnsi="Times New Roman"/>
          <w:lang w:val="en-GB"/>
        </w:rPr>
      </w:pPr>
      <w:r w:rsidRPr="00102AEE">
        <w:rPr>
          <w:rFonts w:ascii="Times New Roman" w:hAnsi="Times New Roman"/>
          <w:lang w:val="en-GB"/>
        </w:rPr>
        <w:t>thực hiện mọi biện pháp phù hợp với khả năng của mình để hạn chế tổn thất ở mức thấp nhất;</w:t>
      </w:r>
    </w:p>
    <w:p w:rsidR="00102AEE" w:rsidRPr="00102AEE" w:rsidRDefault="00102AEE" w:rsidP="00102AEE">
      <w:pPr>
        <w:numPr>
          <w:ilvl w:val="0"/>
          <w:numId w:val="5"/>
        </w:numPr>
        <w:tabs>
          <w:tab w:val="left" w:pos="1134"/>
        </w:tabs>
        <w:autoSpaceDE/>
        <w:autoSpaceDN/>
        <w:spacing w:before="120" w:line="360" w:lineRule="atLeast"/>
        <w:ind w:left="1134" w:hanging="567"/>
        <w:jc w:val="both"/>
        <w:rPr>
          <w:rFonts w:ascii="Times New Roman" w:hAnsi="Times New Roman"/>
          <w:lang w:val="en-GB"/>
        </w:rPr>
      </w:pPr>
      <w:r w:rsidRPr="00102AEE">
        <w:rPr>
          <w:rFonts w:ascii="Times New Roman" w:hAnsi="Times New Roman"/>
          <w:lang w:val="en-GB"/>
        </w:rPr>
        <w:t>bảo quản các chi tiết hay bộ phận bị hư hại và sẵn sàng để cho đại diện hay giám định viện của PJICO giám định các chi tiết hay bộ phận đó;</w:t>
      </w:r>
    </w:p>
    <w:p w:rsidR="00102AEE" w:rsidRPr="00102AEE" w:rsidRDefault="00102AEE" w:rsidP="00102AEE">
      <w:pPr>
        <w:numPr>
          <w:ilvl w:val="0"/>
          <w:numId w:val="5"/>
        </w:numPr>
        <w:tabs>
          <w:tab w:val="left" w:pos="1134"/>
        </w:tabs>
        <w:autoSpaceDE/>
        <w:autoSpaceDN/>
        <w:spacing w:before="120" w:line="360" w:lineRule="atLeast"/>
        <w:ind w:left="1134" w:hanging="567"/>
        <w:jc w:val="both"/>
        <w:rPr>
          <w:rFonts w:ascii="Times New Roman" w:hAnsi="Times New Roman"/>
          <w:lang w:val="en-GB"/>
        </w:rPr>
      </w:pPr>
      <w:r w:rsidRPr="00102AEE">
        <w:rPr>
          <w:rFonts w:ascii="Times New Roman" w:hAnsi="Times New Roman"/>
          <w:lang w:val="en-GB"/>
        </w:rPr>
        <w:t>cung cấp mọi thông tin và các chứng từ văn bản theo yêu cầu của PJICO.</w:t>
      </w:r>
    </w:p>
    <w:p w:rsidR="00102AEE" w:rsidRPr="00102AEE" w:rsidRDefault="00102AEE" w:rsidP="00102AEE">
      <w:pPr>
        <w:autoSpaceDE/>
        <w:autoSpaceDN/>
        <w:spacing w:before="120" w:line="360" w:lineRule="atLeast"/>
        <w:ind w:left="284"/>
        <w:jc w:val="both"/>
        <w:rPr>
          <w:rFonts w:ascii="Times New Roman" w:hAnsi="Times New Roman"/>
          <w:lang w:val="en-GB"/>
        </w:rPr>
      </w:pPr>
      <w:r w:rsidRPr="00102AEE">
        <w:rPr>
          <w:rFonts w:ascii="Times New Roman" w:hAnsi="Times New Roman"/>
          <w:lang w:val="en-GB"/>
        </w:rPr>
        <w:t>Trong mọi trường hợp, PJICO sẽ không chịu trách nhiệm cho những tổn thất hay thiệt hại nếu trong vòng 14 (mười bốn) ngày kể từ khi xảy ra sự cố mà PJICO không nhận được thông báo tổn thất.</w:t>
      </w:r>
    </w:p>
    <w:p w:rsidR="00102AEE" w:rsidRPr="00102AEE" w:rsidRDefault="00102AEE" w:rsidP="00102AEE">
      <w:pPr>
        <w:autoSpaceDE/>
        <w:autoSpaceDN/>
        <w:spacing w:before="120" w:line="360" w:lineRule="atLeast"/>
        <w:ind w:left="284"/>
        <w:jc w:val="both"/>
        <w:rPr>
          <w:rFonts w:ascii="Times New Roman" w:hAnsi="Times New Roman"/>
          <w:lang w:val="en-GB"/>
        </w:rPr>
      </w:pPr>
      <w:r w:rsidRPr="00102AEE">
        <w:rPr>
          <w:rFonts w:ascii="Times New Roman" w:hAnsi="Times New Roman"/>
          <w:lang w:val="en-GB"/>
        </w:rPr>
        <w:lastRenderedPageBreak/>
        <w:t xml:space="preserve">Sau khi thông báo cho PJICO theo điều kiện trên, Người được bảo hiểm có thể tiến hành sửa chữa hay thay thế các hư hỏng nhỏ; Trong mọi trường hợp khác, nhất thiết phải có đại diện của PJICO để giám định tổn thất trước khi thực hiện việc sửa chữa, thay thế. </w:t>
      </w:r>
    </w:p>
    <w:p w:rsidR="00102AEE" w:rsidRPr="00102AEE" w:rsidRDefault="00102AEE" w:rsidP="00102AEE">
      <w:pPr>
        <w:autoSpaceDE/>
        <w:autoSpaceDN/>
        <w:spacing w:before="120" w:line="360" w:lineRule="atLeast"/>
        <w:ind w:left="284"/>
        <w:jc w:val="both"/>
        <w:rPr>
          <w:rFonts w:ascii="Times New Roman" w:hAnsi="Times New Roman"/>
          <w:lang w:val="en-GB"/>
        </w:rPr>
      </w:pPr>
      <w:r w:rsidRPr="00102AEE">
        <w:rPr>
          <w:rFonts w:ascii="Times New Roman" w:hAnsi="Times New Roman"/>
          <w:lang w:val="en-GB"/>
        </w:rPr>
        <w:t>Nếu đại diện của PJICO không tiến hành giám định trong một khoảng thời gian được xem là hợp lý xét theo tình hình thực tế thì Người được bảo hiểm có quyền xúc tiến việc sửa chữa hay thay thế.</w:t>
      </w:r>
    </w:p>
    <w:p w:rsidR="00102AEE" w:rsidRPr="00102AEE" w:rsidRDefault="00102AEE" w:rsidP="00102AEE">
      <w:pPr>
        <w:autoSpaceDE/>
        <w:autoSpaceDN/>
        <w:spacing w:before="120" w:line="360" w:lineRule="atLeast"/>
        <w:ind w:left="284"/>
        <w:jc w:val="both"/>
        <w:rPr>
          <w:rFonts w:ascii="Times New Roman" w:hAnsi="Times New Roman"/>
          <w:lang w:val="en-GB"/>
        </w:rPr>
      </w:pPr>
      <w:r w:rsidRPr="00102AEE">
        <w:rPr>
          <w:rFonts w:ascii="Times New Roman" w:hAnsi="Times New Roman"/>
          <w:lang w:val="en-GB"/>
        </w:rPr>
        <w:t xml:space="preserve">Không điều kiện nào trong Quy tắc bảo hiểm này ngăn cản Người được bảo hiểm tiến hành các biện pháp thật sự cần thiết để duy trì quá trình hoạt động. </w:t>
      </w:r>
    </w:p>
    <w:p w:rsidR="00102AEE" w:rsidRPr="00102AEE" w:rsidRDefault="00102AEE" w:rsidP="00102AEE">
      <w:pPr>
        <w:autoSpaceDE/>
        <w:autoSpaceDN/>
        <w:spacing w:before="120" w:line="360" w:lineRule="atLeast"/>
        <w:ind w:left="284"/>
        <w:jc w:val="both"/>
        <w:rPr>
          <w:rFonts w:ascii="Times New Roman" w:hAnsi="Times New Roman"/>
          <w:lang w:val="en-GB"/>
        </w:rPr>
      </w:pPr>
      <w:r w:rsidRPr="00102AEE">
        <w:rPr>
          <w:rFonts w:ascii="Times New Roman" w:hAnsi="Times New Roman"/>
          <w:lang w:val="en-GB"/>
        </w:rPr>
        <w:t>Trách nhiệm của PJICO theo Quy tắc bảo hiểm này đối với bất kỳ hạng mục nào bị tổn thất sẽ chấm dứt nếu hạng mục đó không được sửa chữa thích đáng và kịp thời.</w:t>
      </w:r>
    </w:p>
    <w:p w:rsidR="00102AEE" w:rsidRPr="00102AEE" w:rsidRDefault="00102AEE" w:rsidP="00102AEE">
      <w:pPr>
        <w:numPr>
          <w:ilvl w:val="0"/>
          <w:numId w:val="4"/>
        </w:numPr>
        <w:autoSpaceDE/>
        <w:autoSpaceDN/>
        <w:spacing w:before="120" w:line="360" w:lineRule="atLeast"/>
        <w:jc w:val="both"/>
        <w:rPr>
          <w:rFonts w:ascii="Times New Roman" w:hAnsi="Times New Roman"/>
          <w:lang w:val="en-GB"/>
        </w:rPr>
      </w:pPr>
      <w:r w:rsidRPr="00102AEE">
        <w:rPr>
          <w:rFonts w:ascii="Times New Roman" w:hAnsi="Times New Roman"/>
          <w:lang w:val="en-GB"/>
        </w:rPr>
        <w:t>Người được bảo hiểm với chi phí do PJICO chịu, phải thực hiện, kết hợp và cho phép thực hiện mọi hành động và mọi công việc xét thấy cần thiết hoặc theo yêu cầu của PJICO nhằm bảo vệ quyền lợi hay quyền miễn trách hay đòi bồi thường từ bên thứ ba (không phải là những Người được bảo hiểm theo bộ Hợp đồng bảo hiểm), những khoản tiền mà PJICO có quyền được hưởng hoặc sẽ có quyền hưởng hoặc được thế quyền sau khi đã thanh toán hay hay sửa chữa tổn thất theo Quy tắc bảo hiểm này, dù cho hành động hay những việc như vậy cần phải làm hoặc phải thực hiện trước hay sau khi PJICO bồi thường cho Người được bảo hiểm.</w:t>
      </w:r>
    </w:p>
    <w:p w:rsidR="00102AEE" w:rsidRPr="00102AEE" w:rsidRDefault="00102AEE" w:rsidP="00102AEE">
      <w:pPr>
        <w:numPr>
          <w:ilvl w:val="0"/>
          <w:numId w:val="4"/>
        </w:numPr>
        <w:tabs>
          <w:tab w:val="clear" w:pos="360"/>
          <w:tab w:val="left" w:pos="567"/>
        </w:tabs>
        <w:autoSpaceDE/>
        <w:autoSpaceDN/>
        <w:spacing w:before="120" w:line="360" w:lineRule="atLeast"/>
        <w:ind w:left="1134" w:hanging="1134"/>
        <w:jc w:val="both"/>
        <w:rPr>
          <w:rFonts w:ascii="Times New Roman" w:hAnsi="Times New Roman"/>
          <w:lang w:val="en-GB"/>
        </w:rPr>
      </w:pPr>
      <w:r w:rsidRPr="00102AEE">
        <w:rPr>
          <w:rFonts w:ascii="Times New Roman" w:hAnsi="Times New Roman"/>
          <w:lang w:val="en-GB"/>
        </w:rPr>
        <w:t xml:space="preserve">a. </w:t>
      </w:r>
      <w:r w:rsidRPr="00102AEE">
        <w:rPr>
          <w:rFonts w:ascii="Times New Roman" w:hAnsi="Times New Roman"/>
          <w:lang w:val="en-GB"/>
        </w:rPr>
        <w:tab/>
        <w:t>Nếu những thông tin đề cập trong Giấy yêu cầu bảo hiểm hoặc những khai báo của Người được bảo hiểm không đúng sự thật, hoặc nếu Người được bảo hiểm đưa ra bất kỳ khiếu nại gian dối nào hoặc phóng đại quá mức độ thiệt hại, hoặc nếu có sự khai báo sai lệch nhằm bảo vệ cho những khiếu nại đó thì hiệu lực của bộ Hợp đồng bảo hiểm sẽ chấm dứt và PJICO sẽ không chịu trách nhiệm chi trả bất kỳ khoản bồi thường nào theo Quy tắc bảo hiểm này.</w:t>
      </w:r>
    </w:p>
    <w:p w:rsidR="00102AEE" w:rsidRPr="00102AEE" w:rsidRDefault="00102AEE" w:rsidP="00102AEE">
      <w:pPr>
        <w:tabs>
          <w:tab w:val="left" w:pos="567"/>
        </w:tabs>
        <w:autoSpaceDE/>
        <w:autoSpaceDN/>
        <w:spacing w:before="120" w:line="360" w:lineRule="atLeast"/>
        <w:ind w:left="1134" w:hanging="1134"/>
        <w:jc w:val="both"/>
        <w:rPr>
          <w:rFonts w:ascii="Times New Roman" w:hAnsi="Times New Roman"/>
          <w:lang w:val="en-GB"/>
        </w:rPr>
      </w:pPr>
      <w:r w:rsidRPr="00102AEE">
        <w:rPr>
          <w:rFonts w:ascii="Times New Roman" w:hAnsi="Times New Roman"/>
          <w:lang w:val="en-GB"/>
        </w:rPr>
        <w:tab/>
        <w:t xml:space="preserve">b. </w:t>
      </w:r>
      <w:r w:rsidRPr="00102AEE">
        <w:rPr>
          <w:rFonts w:ascii="Times New Roman" w:hAnsi="Times New Roman"/>
          <w:lang w:val="en-GB"/>
        </w:rPr>
        <w:tab/>
        <w:t>Trong trường hợp PJICO từ chối trách nhiệm đối với bất kỳ khiếu nại nào, nếu không có khởi kiện trong vòng 6 (sáu) tháng kể từ khi có sự từ chối đó hoặc trong vòng 3 (ba) tháng kể từ khi các trọng tài hoặc trọng tài chủ trì đưa ra quyết định (trong trường hợp giải quyết theo Điều 9 – phần “các điều kiện chung” trong Quy tắc bảo hiểm này) thì tất cả quyền lợi theo Quy tắc bảo hiểm này liên quan đến yêu cầu bồi thường đó sẽ mất hiệu lực.</w:t>
      </w:r>
    </w:p>
    <w:p w:rsidR="00102AEE" w:rsidRPr="00102AEE" w:rsidRDefault="00102AEE" w:rsidP="00102AEE">
      <w:pPr>
        <w:numPr>
          <w:ilvl w:val="0"/>
          <w:numId w:val="4"/>
        </w:numPr>
        <w:autoSpaceDE/>
        <w:autoSpaceDN/>
        <w:spacing w:before="120" w:line="360" w:lineRule="atLeast"/>
        <w:jc w:val="both"/>
        <w:rPr>
          <w:rFonts w:ascii="Times New Roman" w:hAnsi="Times New Roman"/>
          <w:lang w:val="en-GB"/>
        </w:rPr>
      </w:pPr>
      <w:r w:rsidRPr="00102AEE">
        <w:rPr>
          <w:rFonts w:ascii="Times New Roman" w:hAnsi="Times New Roman"/>
          <w:lang w:val="en-GB"/>
        </w:rPr>
        <w:t xml:space="preserve">Giấy chứng nhận bảo hiểm/Hợp đồng bảo hiểm có thể chấm dứt hiệu lực vào bất kỳ thời điểm nào theo yêu cầu của Người được bảo hiểm, trong trường hợp như vậy PJICO sẽ giữ lại phần phí bảo hiểm được tính theo biểu phí ngắn hạn tương ứng với khoảng thời gian đã có hiệu lực của Giấy chứng nhận bảo hiểm/Hợp đồng bảo hiểm. Giấy chứng nhận bảo hiểm/Hợp đồng bảo hiểm  có thể chấm dứt hiệu lực theo yêu cầu của PJICO sau 7 (bảy) ngày kể ngày Người được bảo hiểm nhận được thông báo, trong trường hợp như vậy, PJICO sẽ hoàn trả lại cho Người được bảo hiểm theo tỷ lệ tương ứng với thời gian kể từ ngày chấm dứt hiệu lực đến ngày hết hiệu lực của Giấy </w:t>
      </w:r>
      <w:r w:rsidRPr="00102AEE">
        <w:rPr>
          <w:rFonts w:ascii="Times New Roman" w:hAnsi="Times New Roman"/>
          <w:lang w:val="en-GB"/>
        </w:rPr>
        <w:lastRenderedPageBreak/>
        <w:t>chứng nhận bảo hiểm/Hợp đồng bảo hiểm và trừ đi bất kỳ khoản chi phí hợp lý nào về điều tra, giám định mà PJICO có thể đã bỏ ra.</w:t>
      </w:r>
    </w:p>
    <w:p w:rsidR="00102AEE" w:rsidRPr="00102AEE" w:rsidRDefault="00102AEE" w:rsidP="00102AEE">
      <w:pPr>
        <w:numPr>
          <w:ilvl w:val="0"/>
          <w:numId w:val="4"/>
        </w:numPr>
        <w:autoSpaceDE/>
        <w:autoSpaceDN/>
        <w:spacing w:before="120" w:line="360" w:lineRule="atLeast"/>
        <w:jc w:val="both"/>
        <w:rPr>
          <w:rFonts w:ascii="Times New Roman" w:hAnsi="Times New Roman"/>
          <w:lang w:val="en-GB"/>
        </w:rPr>
      </w:pPr>
      <w:r w:rsidRPr="00102AEE">
        <w:rPr>
          <w:rFonts w:ascii="Times New Roman" w:hAnsi="Times New Roman"/>
          <w:lang w:val="en-GB"/>
        </w:rPr>
        <w:t>Nếu có sự</w:t>
      </w:r>
      <w:r w:rsidRPr="00102AEE">
        <w:rPr>
          <w:rFonts w:ascii="Times New Roman" w:hAnsi="Times New Roman"/>
          <w:lang w:val="en-GB"/>
        </w:rPr>
        <w:tab/>
        <w:t xml:space="preserve"> tranh chấp về số tiền bồi thường theo Giấy chứng nhận bảo hiểm/Hợp đồng bảo hiểm (mà nếu không có sự tranh chấp đó thì trách nhiệm đã được thừa nhận) thì việc tranh chấp sẽ chuyển đến cho một trọng tài quyết định, trọng tài này do hai bên đồng ý chỉ định bằng văn bản, nếu hai bên không thống nhất được một trọng tài chung thì vấn đề thì mỗi bên chỉ định một trọng tài trong vòng 01 (một) tháng kể từ khi một trong hai bên nhận được văn bản của bên kia yêu cầu chọn Trọng tài khác, hoặc trong trường hợp hai trọng tài không thống nhất được ý kiến thì cùng nhau chỉ định một Trọng tài chung bằng văn trước khi đưa tranh chấp ra giải quyết. Trọng tài chung sẽ ngồi lại với hai trọng tài kia và làm chủ tọa cuộc họp để giải quyết tranh chấp. Phán quyết của cuộc họp sẽ là điều kiện tiên quyết đối với tính chất đúng đắn của việc kiện tụng chống lại PJICO.</w:t>
      </w:r>
    </w:p>
    <w:p w:rsidR="00102AEE" w:rsidRPr="00102AEE" w:rsidRDefault="00102AEE" w:rsidP="00102AEE">
      <w:pPr>
        <w:numPr>
          <w:ilvl w:val="0"/>
          <w:numId w:val="4"/>
        </w:numPr>
        <w:autoSpaceDE/>
        <w:autoSpaceDN/>
        <w:spacing w:before="120" w:line="360" w:lineRule="atLeast"/>
        <w:jc w:val="both"/>
        <w:rPr>
          <w:rFonts w:ascii="Times New Roman" w:hAnsi="Times New Roman"/>
          <w:lang w:val="en-GB"/>
        </w:rPr>
      </w:pPr>
      <w:r w:rsidRPr="00102AEE">
        <w:rPr>
          <w:rFonts w:ascii="Times New Roman" w:hAnsi="Times New Roman"/>
          <w:lang w:val="en-GB"/>
        </w:rPr>
        <w:t xml:space="preserve">Nếu vào thời điểm phát sinh khiếu nại theo Giấy chứng nhận bảo hiểm/Hợp đồng bảo hiểm mà có bất kỳ một Hợp đồng bảo hiểm nào khác cũng bảo hiểm tổn thất, thiệt hại hay trách nhiệm đó thì PJICO sẽ không có trách nhiệm chi trả hoặc đóng góp nhiều hơn tỷ lệ của PJICO trong khiếu nại về tổn thất, thiệt hại hay trách nhiệm đó. </w:t>
      </w:r>
    </w:p>
    <w:p w:rsidR="00102AEE" w:rsidRPr="00102AEE" w:rsidRDefault="00102AEE" w:rsidP="00102AEE">
      <w:pPr>
        <w:autoSpaceDE/>
        <w:autoSpaceDN/>
        <w:spacing w:before="120" w:line="360" w:lineRule="atLeast"/>
        <w:ind w:left="270" w:hanging="270"/>
        <w:jc w:val="both"/>
        <w:rPr>
          <w:rFonts w:ascii="Times New Roman" w:hAnsi="Times New Roman"/>
          <w:b/>
          <w:bCs/>
          <w:lang w:val="en-GB"/>
        </w:rPr>
      </w:pPr>
      <w:r w:rsidRPr="00102AEE">
        <w:rPr>
          <w:rFonts w:ascii="Times New Roman" w:hAnsi="Times New Roman"/>
          <w:b/>
          <w:bCs/>
          <w:lang w:val="en-GB"/>
        </w:rPr>
        <w:t>CÁC ĐIỂM QUY ĐỊNH</w:t>
      </w:r>
    </w:p>
    <w:p w:rsidR="00102AEE" w:rsidRPr="00102AEE" w:rsidRDefault="00102AEE" w:rsidP="00102AEE">
      <w:pPr>
        <w:autoSpaceDE/>
        <w:autoSpaceDN/>
        <w:spacing w:before="120" w:line="360" w:lineRule="atLeast"/>
        <w:ind w:left="270" w:hanging="270"/>
        <w:jc w:val="both"/>
        <w:rPr>
          <w:rFonts w:ascii="Times New Roman" w:hAnsi="Times New Roman"/>
          <w:b/>
          <w:bCs/>
          <w:i/>
          <w:iCs/>
          <w:lang w:val="en-GB"/>
        </w:rPr>
      </w:pPr>
      <w:r w:rsidRPr="00102AEE">
        <w:rPr>
          <w:rFonts w:ascii="Times New Roman" w:hAnsi="Times New Roman"/>
          <w:b/>
          <w:bCs/>
          <w:i/>
          <w:iCs/>
          <w:lang w:val="en-GB"/>
        </w:rPr>
        <w:t>Ghi nhớ 1 - Số tiền bảo hiểm</w:t>
      </w:r>
    </w:p>
    <w:p w:rsidR="00102AEE" w:rsidRPr="00102AEE" w:rsidRDefault="00102AEE" w:rsidP="00102AEE">
      <w:pPr>
        <w:autoSpaceDE/>
        <w:autoSpaceDN/>
        <w:spacing w:before="120" w:line="360" w:lineRule="atLeast"/>
        <w:jc w:val="both"/>
        <w:rPr>
          <w:rFonts w:ascii="Times New Roman" w:hAnsi="Times New Roman"/>
          <w:lang w:val="en-GB"/>
        </w:rPr>
      </w:pPr>
      <w:r w:rsidRPr="00102AEE">
        <w:rPr>
          <w:rFonts w:ascii="Times New Roman" w:hAnsi="Times New Roman"/>
          <w:lang w:val="en-GB"/>
        </w:rPr>
        <w:t>Yêu cầu của Quy tắc bảo hiểm này là số tiền bảo hiểm nêu trong Giấy chứng nhận bảo hiểm/Hợp đồng bảo hiểm không được thấp hơn giá trị thay thế những hạng mục được bảo hiểm bằng những hạng mục mới có cùng tính năng, công suất và chủng loại, bao gồm tất cả các nguyên vật liệu, tiền lương, cước phí vận chuyển, thuế hải quan và các khoản lệ phí khác.</w:t>
      </w:r>
    </w:p>
    <w:p w:rsidR="00102AEE" w:rsidRPr="00102AEE" w:rsidRDefault="00102AEE" w:rsidP="00102AEE">
      <w:pPr>
        <w:autoSpaceDE/>
        <w:autoSpaceDN/>
        <w:spacing w:before="120" w:line="360" w:lineRule="atLeast"/>
        <w:jc w:val="both"/>
        <w:rPr>
          <w:rFonts w:ascii="Times New Roman" w:hAnsi="Times New Roman"/>
          <w:lang w:val="en-GB"/>
        </w:rPr>
      </w:pPr>
      <w:r w:rsidRPr="00102AEE">
        <w:rPr>
          <w:rFonts w:ascii="Times New Roman" w:hAnsi="Times New Roman"/>
          <w:lang w:val="en-GB"/>
        </w:rPr>
        <w:t>Người được bảo hiểm cam kết tăng giảm số tiền bảo hiểm trong trường hợp có sự biến động về tiền lương hay giá cả, luôn luôn với điều kiện là việc tăng giảm này chỉ có hiệu lực sau khi việc đó đã được PJICO ghi nhận trong bộ Hợp đồng bảo hiểm.</w:t>
      </w:r>
    </w:p>
    <w:p w:rsidR="00102AEE" w:rsidRPr="00102AEE" w:rsidRDefault="00102AEE" w:rsidP="00102AEE">
      <w:pPr>
        <w:autoSpaceDE/>
        <w:autoSpaceDN/>
        <w:spacing w:before="120" w:line="360" w:lineRule="atLeast"/>
        <w:jc w:val="both"/>
        <w:rPr>
          <w:rFonts w:ascii="Times New Roman" w:hAnsi="Times New Roman"/>
          <w:lang w:val="en-GB"/>
        </w:rPr>
      </w:pPr>
      <w:r w:rsidRPr="00102AEE">
        <w:rPr>
          <w:rFonts w:ascii="Times New Roman" w:hAnsi="Times New Roman"/>
          <w:lang w:val="en-GB"/>
        </w:rPr>
        <w:t>Trong trường hợp có tổn thất, nếu phát hiện thấy số tiền tham gia bảo hiểm thấp hơn số tiền lẽ ra phải được bảo hiểm theo yêu cầu trên thì số tiền Người được bảo hiểm được bồi thường theo Quy tắc bảo hiểm này sẽ giảm đi theo tỷ lệ giữa số tiền bảo hiểm đã tham gia bảo hiểm so với số tiền lẽ ra phải được bảo hiểm như yêu cầu trên. Tất cả các hạng  mục được ghi trong Giấy chứng nhận bảo hiểm/ Hợp đồng bảo hiểm đều phải tuân theo điều kiện này một cách riêng biệt.</w:t>
      </w:r>
    </w:p>
    <w:p w:rsidR="00102AEE" w:rsidRPr="00102AEE" w:rsidRDefault="00102AEE" w:rsidP="00102AEE">
      <w:pPr>
        <w:autoSpaceDE/>
        <w:autoSpaceDN/>
        <w:spacing w:before="120" w:line="360" w:lineRule="atLeast"/>
        <w:ind w:left="270" w:hanging="270"/>
        <w:jc w:val="both"/>
        <w:rPr>
          <w:rFonts w:ascii="Times New Roman" w:hAnsi="Times New Roman"/>
          <w:b/>
          <w:bCs/>
          <w:i/>
          <w:iCs/>
          <w:lang w:val="en-GB"/>
        </w:rPr>
      </w:pPr>
      <w:r w:rsidRPr="00102AEE">
        <w:rPr>
          <w:rFonts w:ascii="Times New Roman" w:hAnsi="Times New Roman"/>
          <w:b/>
          <w:bCs/>
          <w:i/>
          <w:iCs/>
          <w:lang w:val="en-GB"/>
        </w:rPr>
        <w:t>Ghi nhớ 2 - Cơ sở giải quyết bồi thường</w:t>
      </w:r>
    </w:p>
    <w:p w:rsidR="00102AEE" w:rsidRPr="00102AEE" w:rsidRDefault="00102AEE" w:rsidP="00102AEE">
      <w:pPr>
        <w:tabs>
          <w:tab w:val="left" w:pos="0"/>
        </w:tabs>
        <w:autoSpaceDE/>
        <w:autoSpaceDN/>
        <w:spacing w:before="120" w:line="360" w:lineRule="atLeast"/>
        <w:jc w:val="both"/>
        <w:rPr>
          <w:rFonts w:ascii="Times New Roman" w:hAnsi="Times New Roman"/>
          <w:lang w:val="en-GB"/>
        </w:rPr>
      </w:pPr>
      <w:r w:rsidRPr="00102AEE">
        <w:rPr>
          <w:rFonts w:ascii="Times New Roman" w:hAnsi="Times New Roman"/>
          <w:lang w:val="en-GB"/>
        </w:rPr>
        <w:t>Trong trường hợp xảy ra tổn thất hoặc thiệt hai, việc giải quyết bồi thường theo Quy tắc bảo hiểm này sẽ được dựa trên cơ sở sau:</w:t>
      </w:r>
    </w:p>
    <w:p w:rsidR="00102AEE" w:rsidRPr="00102AEE" w:rsidRDefault="00102AEE" w:rsidP="00102AEE">
      <w:pPr>
        <w:numPr>
          <w:ilvl w:val="0"/>
          <w:numId w:val="6"/>
        </w:numPr>
        <w:tabs>
          <w:tab w:val="clear" w:pos="360"/>
          <w:tab w:val="left" w:pos="720"/>
          <w:tab w:val="left" w:pos="2160"/>
        </w:tabs>
        <w:autoSpaceDE/>
        <w:autoSpaceDN/>
        <w:spacing w:before="120" w:line="360" w:lineRule="atLeast"/>
        <w:ind w:left="720"/>
        <w:jc w:val="both"/>
        <w:rPr>
          <w:rFonts w:ascii="Times New Roman" w:hAnsi="Times New Roman"/>
          <w:lang w:val="en-GB"/>
        </w:rPr>
      </w:pPr>
      <w:r w:rsidRPr="00102AEE">
        <w:rPr>
          <w:rFonts w:ascii="Times New Roman" w:hAnsi="Times New Roman"/>
          <w:lang w:val="en-GB"/>
        </w:rPr>
        <w:lastRenderedPageBreak/>
        <w:t>Trường hợp có thể sửa chữa được: là chi phí sửa chữa cần thiết để phục hồi các hạng mục bị tổn thất trở lại trạng thái như ngay trước khi xảy ra tổn thất trừ đi phần thu hồi (không bao gồm chi phí dọn dẹp hiện trường),</w:t>
      </w:r>
    </w:p>
    <w:p w:rsidR="00102AEE" w:rsidRPr="00102AEE" w:rsidRDefault="00102AEE" w:rsidP="00102AEE">
      <w:pPr>
        <w:numPr>
          <w:ilvl w:val="0"/>
          <w:numId w:val="6"/>
        </w:numPr>
        <w:tabs>
          <w:tab w:val="clear" w:pos="360"/>
          <w:tab w:val="left" w:pos="720"/>
          <w:tab w:val="left" w:pos="2160"/>
        </w:tabs>
        <w:autoSpaceDE/>
        <w:autoSpaceDN/>
        <w:spacing w:before="120" w:line="360" w:lineRule="atLeast"/>
        <w:ind w:left="720"/>
        <w:jc w:val="both"/>
        <w:rPr>
          <w:rFonts w:ascii="Times New Roman" w:hAnsi="Times New Roman"/>
          <w:lang w:val="en-GB"/>
        </w:rPr>
      </w:pPr>
      <w:r w:rsidRPr="00102AEE">
        <w:rPr>
          <w:rFonts w:ascii="Times New Roman" w:hAnsi="Times New Roman"/>
          <w:lang w:val="en-GB"/>
        </w:rPr>
        <w:t>Đối với trường hợp tổn thất toàn bộ:</w:t>
      </w:r>
    </w:p>
    <w:p w:rsidR="00102AEE" w:rsidRPr="00102AEE" w:rsidRDefault="00102AEE" w:rsidP="00102AEE">
      <w:pPr>
        <w:autoSpaceDE/>
        <w:autoSpaceDN/>
        <w:spacing w:before="120" w:line="360" w:lineRule="atLeast"/>
        <w:ind w:left="1211" w:hanging="284"/>
        <w:jc w:val="both"/>
        <w:rPr>
          <w:rFonts w:ascii="Times New Roman" w:hAnsi="Times New Roman"/>
          <w:lang w:val="en-GB"/>
        </w:rPr>
      </w:pPr>
      <w:r w:rsidRPr="00102AEE">
        <w:rPr>
          <w:rFonts w:ascii="Times New Roman" w:hAnsi="Times New Roman"/>
          <w:lang w:val="en-GB"/>
        </w:rPr>
        <w:t xml:space="preserve">- </w:t>
      </w:r>
      <w:r w:rsidRPr="00102AEE">
        <w:rPr>
          <w:rFonts w:ascii="Times New Roman" w:hAnsi="Times New Roman"/>
          <w:lang w:val="en-GB"/>
        </w:rPr>
        <w:tab/>
        <w:t>là chi phí thay thế của các hạng mục được bảo hiểm nếu tổn thất xảy ra trong thời hạn nêu trong Giấy chứng nhận bảo hiểm/ Hợp đồng bảo hiểm</w:t>
      </w:r>
    </w:p>
    <w:p w:rsidR="00102AEE" w:rsidRPr="00102AEE" w:rsidRDefault="00102AEE" w:rsidP="00102AEE">
      <w:pPr>
        <w:autoSpaceDE/>
        <w:autoSpaceDN/>
        <w:spacing w:before="120" w:line="360" w:lineRule="atLeast"/>
        <w:ind w:left="1211" w:hanging="284"/>
        <w:jc w:val="both"/>
        <w:rPr>
          <w:rFonts w:ascii="Times New Roman" w:hAnsi="Times New Roman"/>
          <w:lang w:val="en-GB"/>
        </w:rPr>
      </w:pPr>
      <w:r w:rsidRPr="00102AEE">
        <w:rPr>
          <w:rFonts w:ascii="Times New Roman" w:hAnsi="Times New Roman"/>
          <w:lang w:val="en-GB"/>
        </w:rPr>
        <w:t xml:space="preserve">- </w:t>
      </w:r>
      <w:r w:rsidRPr="00102AEE">
        <w:rPr>
          <w:rFonts w:ascii="Times New Roman" w:hAnsi="Times New Roman"/>
          <w:lang w:val="en-GB"/>
        </w:rPr>
        <w:tab/>
        <w:t xml:space="preserve">là giá trị thực tế của các hạng mục ngay trước khi xảy ra tổn thất trừ đi giá trị thu hồi, giá trị thực tế này được tính bằng cách trừ đi một khoản khấu hao thích hợp vào giá trị thay thế của các hạng mục, </w:t>
      </w:r>
    </w:p>
    <w:p w:rsidR="00102AEE" w:rsidRPr="00102AEE" w:rsidRDefault="00102AEE" w:rsidP="00102AEE">
      <w:pPr>
        <w:autoSpaceDE/>
        <w:autoSpaceDN/>
        <w:spacing w:before="120" w:line="360" w:lineRule="atLeast"/>
        <w:ind w:left="540"/>
        <w:jc w:val="both"/>
        <w:rPr>
          <w:rFonts w:ascii="Times New Roman" w:hAnsi="Times New Roman"/>
          <w:lang w:val="en-GB"/>
        </w:rPr>
      </w:pPr>
      <w:r w:rsidRPr="00102AEE">
        <w:rPr>
          <w:rFonts w:ascii="Times New Roman" w:hAnsi="Times New Roman"/>
          <w:lang w:val="en-GB"/>
        </w:rPr>
        <w:t>tuy nhiên, chỉ bồi thường ở mức độ chi phí mà Người được bảo hiểm thực tế phải gánh chịu và ở mức độ mà các khoản đó được tính chung trong số tiền bảo hiểm và luôn luôn với điều kiện là các điều kiện và điều khoản này đều được tuân thủ đầy đủ.</w:t>
      </w:r>
    </w:p>
    <w:p w:rsidR="00102AEE" w:rsidRPr="00102AEE" w:rsidRDefault="00102AEE" w:rsidP="00102AEE">
      <w:pPr>
        <w:autoSpaceDE/>
        <w:autoSpaceDN/>
        <w:spacing w:before="120" w:line="360" w:lineRule="atLeast"/>
        <w:jc w:val="both"/>
        <w:rPr>
          <w:rFonts w:ascii="Times New Roman" w:hAnsi="Times New Roman"/>
          <w:lang w:val="en-GB"/>
        </w:rPr>
      </w:pPr>
      <w:r w:rsidRPr="00102AEE">
        <w:rPr>
          <w:rFonts w:ascii="Times New Roman" w:hAnsi="Times New Roman"/>
          <w:lang w:val="en-GB"/>
        </w:rPr>
        <w:t>PJICO sẽ chỉ bồi thường sau khi thỏa mãn với việc xuất trình các hóa đơn và chứng từ cần thiết để chứng tỏ rằng việc sửa chữa đã được tiến hành hay việc thay thế đã được thực hiện, tùy theo từng trường hợp cụ thể. Mọi tổn thất có thể sửa chữa phải được sửa chữa, nhưng nếu chi phí sửa chữa bằng hay vượt quá giá trị của hạng mục đó tại thời điểm ngay trước khi xảy ra tổn thất thì việc thanh toán bồi thường sẽ được thực hiện trên cơ sở quy định ở điểm b. trên.</w:t>
      </w:r>
    </w:p>
    <w:p w:rsidR="00102AEE" w:rsidRPr="00102AEE" w:rsidRDefault="00102AEE" w:rsidP="00102AEE">
      <w:pPr>
        <w:autoSpaceDE/>
        <w:autoSpaceDN/>
        <w:spacing w:before="120" w:line="360" w:lineRule="atLeast"/>
        <w:jc w:val="both"/>
        <w:rPr>
          <w:rFonts w:ascii="Times New Roman" w:hAnsi="Times New Roman"/>
          <w:lang w:val="en-GB"/>
        </w:rPr>
      </w:pPr>
      <w:r w:rsidRPr="00102AEE">
        <w:rPr>
          <w:rFonts w:ascii="Times New Roman" w:hAnsi="Times New Roman"/>
          <w:lang w:val="en-GB"/>
        </w:rPr>
        <w:t>PJICO cũng sẽ bồi thường cho Người được bảo hiểm đối với chi phí dọn dẹp hiện trường sau khi tổn thất xảy ra và được khiếu nại theo Quy tắc bảo hiểm này tại Ghi nhớ 3, với điều kiện là khoản mục đó phải được nêu trong Giấy chứng nhận bảo hiểm/ Hợp đồng bảo hiểm.</w:t>
      </w:r>
    </w:p>
    <w:p w:rsidR="00102AEE" w:rsidRPr="00102AEE" w:rsidRDefault="00102AEE" w:rsidP="00102AEE">
      <w:pPr>
        <w:autoSpaceDE/>
        <w:autoSpaceDN/>
        <w:spacing w:before="120" w:line="360" w:lineRule="atLeast"/>
        <w:jc w:val="both"/>
        <w:rPr>
          <w:rFonts w:ascii="Times New Roman" w:hAnsi="Times New Roman"/>
          <w:lang w:val="en-GB"/>
        </w:rPr>
      </w:pPr>
      <w:r w:rsidRPr="00102AEE">
        <w:rPr>
          <w:rFonts w:ascii="Times New Roman" w:hAnsi="Times New Roman"/>
          <w:lang w:val="en-GB"/>
        </w:rPr>
        <w:t>Các chi phí cho việc sửa chữa tạm thời sẽ do PJICO chịu nếu những công việc này là một phần cấu thành trong công việc sửa chữa cuối cùng và không làm tăng tổng chi phí sửa chữa.</w:t>
      </w:r>
    </w:p>
    <w:p w:rsidR="00102AEE" w:rsidRPr="00102AEE" w:rsidRDefault="00102AEE" w:rsidP="00102AEE">
      <w:pPr>
        <w:autoSpaceDE/>
        <w:autoSpaceDN/>
        <w:spacing w:before="120" w:line="360" w:lineRule="atLeast"/>
        <w:jc w:val="both"/>
        <w:rPr>
          <w:rFonts w:ascii="Times New Roman" w:hAnsi="Times New Roman"/>
          <w:lang w:val="en-GB"/>
        </w:rPr>
      </w:pPr>
      <w:r w:rsidRPr="00102AEE">
        <w:rPr>
          <w:rFonts w:ascii="Times New Roman" w:hAnsi="Times New Roman"/>
          <w:lang w:val="en-GB"/>
        </w:rPr>
        <w:t>Các chi phí trong việc làm thay đổi, bổ sung và/hoặc nâng cấp sẽ không được bảo hiểm theo Quy tắc bảo hiểm này.</w:t>
      </w:r>
    </w:p>
    <w:p w:rsidR="00102AEE" w:rsidRPr="00102AEE" w:rsidRDefault="00102AEE" w:rsidP="00102AEE">
      <w:pPr>
        <w:autoSpaceDE/>
        <w:autoSpaceDN/>
        <w:spacing w:before="120" w:line="360" w:lineRule="atLeast"/>
        <w:ind w:left="270" w:hanging="270"/>
        <w:jc w:val="both"/>
        <w:rPr>
          <w:rFonts w:ascii="Times New Roman" w:hAnsi="Times New Roman"/>
          <w:i/>
          <w:iCs/>
          <w:lang w:val="en-GB"/>
        </w:rPr>
      </w:pPr>
      <w:r w:rsidRPr="00102AEE">
        <w:rPr>
          <w:rFonts w:ascii="Times New Roman" w:hAnsi="Times New Roman"/>
          <w:b/>
          <w:bCs/>
          <w:i/>
          <w:iCs/>
          <w:lang w:val="en-GB"/>
        </w:rPr>
        <w:t>Ghi nhớ 3 - Mở rộng phạm vi bảo hiểm</w:t>
      </w:r>
    </w:p>
    <w:p w:rsidR="00102AEE" w:rsidRPr="00102AEE" w:rsidRDefault="00102AEE" w:rsidP="00102AEE">
      <w:pPr>
        <w:autoSpaceDE/>
        <w:autoSpaceDN/>
        <w:spacing w:before="120" w:line="360" w:lineRule="atLeast"/>
        <w:jc w:val="both"/>
        <w:rPr>
          <w:rFonts w:ascii="Times New Roman" w:hAnsi="Times New Roman"/>
          <w:lang w:val="en-GB"/>
        </w:rPr>
      </w:pPr>
      <w:r w:rsidRPr="00102AEE">
        <w:rPr>
          <w:rFonts w:ascii="Times New Roman" w:hAnsi="Times New Roman"/>
          <w:lang w:val="en-GB"/>
        </w:rPr>
        <w:t>Trên cơ sở Người được bảo hiểm đã trả thêm phụ phí bảo hiểm do PJICO quy định, việc bồi thường cho các tổn thất hoặc thiệt hại thuộc phạm vi của Quy tắc bảo hiểm này sẽ được mở rộng cho các chi phí dọn dẹp hiện trường như là một bộ phận của các hạng mục được bảo hiểm bao gồm cả chi phí di chuyển hoặc phá hủy bất kỳ bộ phận nào của hạng mục được bảo hiểm đã không còn sử dụng được cho mục đích như đã dự định, nhưng chỉ trong trường hợp do quy định của pháp luật hiện hành buộc Người được bảo hiểm thực hiện việc di chuyển hay phá hủy đó và giới hạn bồi thường cho mỗi vụ tổn thất không vượt quá giới hạn được quy định trong Giấy chứng nhận bảo hiểm/ Hợp đồng bảo hiểm.</w:t>
      </w:r>
    </w:p>
    <w:p w:rsidR="00062A27" w:rsidRDefault="00062A27">
      <w:bookmarkStart w:id="0" w:name="_GoBack"/>
      <w:bookmarkEnd w:id="0"/>
    </w:p>
    <w:sectPr w:rsidR="00062A27" w:rsidSect="00560C17">
      <w:footerReference w:type="even" r:id="rId6"/>
      <w:footerReference w:type="default" r:id="rId7"/>
      <w:footerReference w:type="first" r:id="rId8"/>
      <w:pgSz w:w="11909" w:h="16834" w:code="9"/>
      <w:pgMar w:top="851" w:right="929" w:bottom="851" w:left="1701" w:header="397" w:footer="39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CD5" w:rsidRDefault="00102AEE" w:rsidP="00506E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5CD5" w:rsidRDefault="00102AEE" w:rsidP="009E43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CD5" w:rsidRDefault="00102AEE" w:rsidP="00506E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E65CD5" w:rsidRPr="00F84C95" w:rsidRDefault="00102AEE" w:rsidP="009E43E6">
    <w:pPr>
      <w:pStyle w:val="Footer"/>
      <w:tabs>
        <w:tab w:val="center" w:pos="4962"/>
        <w:tab w:val="right" w:pos="9072"/>
      </w:tabs>
      <w:ind w:right="360"/>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CD5" w:rsidRDefault="00102AEE">
    <w:pPr>
      <w:pStyle w:val="Footer"/>
      <w:jc w:val="right"/>
    </w:pPr>
    <w:r w:rsidRPr="00560C17">
      <w:rPr>
        <w:i/>
        <w:sz w:val="24"/>
        <w:szCs w:val="24"/>
      </w:rPr>
      <w:fldChar w:fldCharType="begin"/>
    </w:r>
    <w:r w:rsidRPr="00560C17">
      <w:rPr>
        <w:i/>
      </w:rPr>
      <w:instrText xml:space="preserve"> PAGE </w:instrText>
    </w:r>
    <w:r w:rsidRPr="00560C17">
      <w:rPr>
        <w:i/>
        <w:sz w:val="24"/>
        <w:szCs w:val="24"/>
      </w:rPr>
      <w:fldChar w:fldCharType="separate"/>
    </w:r>
    <w:r>
      <w:rPr>
        <w:i/>
        <w:noProof/>
      </w:rPr>
      <w:t>1</w:t>
    </w:r>
    <w:r w:rsidRPr="00560C17">
      <w:rPr>
        <w:i/>
        <w:sz w:val="24"/>
        <w:szCs w:val="24"/>
      </w:rPr>
      <w:fldChar w:fldCharType="end"/>
    </w:r>
  </w:p>
  <w:p w:rsidR="00E65CD5" w:rsidRDefault="00102AE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C7B6E"/>
    <w:multiLevelType w:val="singleLevel"/>
    <w:tmpl w:val="08AE6582"/>
    <w:lvl w:ilvl="0">
      <w:start w:val="1"/>
      <w:numFmt w:val="lowerLetter"/>
      <w:lvlText w:val="%1."/>
      <w:lvlJc w:val="left"/>
      <w:pPr>
        <w:tabs>
          <w:tab w:val="num" w:pos="720"/>
        </w:tabs>
        <w:ind w:left="720" w:hanging="360"/>
      </w:pPr>
    </w:lvl>
  </w:abstractNum>
  <w:abstractNum w:abstractNumId="1">
    <w:nsid w:val="2F4E6DE0"/>
    <w:multiLevelType w:val="singleLevel"/>
    <w:tmpl w:val="E3886860"/>
    <w:lvl w:ilvl="0">
      <w:start w:val="1"/>
      <w:numFmt w:val="lowerLetter"/>
      <w:lvlText w:val="%1."/>
      <w:lvlJc w:val="left"/>
      <w:pPr>
        <w:tabs>
          <w:tab w:val="num" w:pos="720"/>
        </w:tabs>
        <w:ind w:left="720" w:hanging="360"/>
      </w:pPr>
    </w:lvl>
  </w:abstractNum>
  <w:abstractNum w:abstractNumId="2">
    <w:nsid w:val="35541F7D"/>
    <w:multiLevelType w:val="singleLevel"/>
    <w:tmpl w:val="0409000F"/>
    <w:lvl w:ilvl="0">
      <w:start w:val="1"/>
      <w:numFmt w:val="decimal"/>
      <w:lvlText w:val="%1."/>
      <w:lvlJc w:val="left"/>
      <w:pPr>
        <w:tabs>
          <w:tab w:val="num" w:pos="360"/>
        </w:tabs>
        <w:ind w:left="360" w:hanging="360"/>
      </w:pPr>
    </w:lvl>
  </w:abstractNum>
  <w:abstractNum w:abstractNumId="3">
    <w:nsid w:val="417F6D27"/>
    <w:multiLevelType w:val="singleLevel"/>
    <w:tmpl w:val="A66C2EFA"/>
    <w:lvl w:ilvl="0">
      <w:start w:val="1"/>
      <w:numFmt w:val="lowerLetter"/>
      <w:lvlText w:val="%1."/>
      <w:lvlJc w:val="left"/>
      <w:pPr>
        <w:tabs>
          <w:tab w:val="num" w:pos="360"/>
        </w:tabs>
        <w:ind w:left="360" w:hanging="360"/>
      </w:pPr>
    </w:lvl>
  </w:abstractNum>
  <w:abstractNum w:abstractNumId="4">
    <w:nsid w:val="51CA7F8B"/>
    <w:multiLevelType w:val="singleLevel"/>
    <w:tmpl w:val="90323506"/>
    <w:lvl w:ilvl="0">
      <w:start w:val="1"/>
      <w:numFmt w:val="lowerLetter"/>
      <w:lvlText w:val="%1."/>
      <w:lvlJc w:val="left"/>
      <w:pPr>
        <w:tabs>
          <w:tab w:val="num" w:pos="360"/>
        </w:tabs>
        <w:ind w:left="360" w:hanging="360"/>
      </w:pPr>
    </w:lvl>
  </w:abstractNum>
  <w:abstractNum w:abstractNumId="5">
    <w:nsid w:val="73804881"/>
    <w:multiLevelType w:val="singleLevel"/>
    <w:tmpl w:val="0409000F"/>
    <w:lvl w:ilvl="0">
      <w:start w:val="1"/>
      <w:numFmt w:val="decimal"/>
      <w:lvlText w:val="%1."/>
      <w:lvlJc w:val="left"/>
      <w:pPr>
        <w:tabs>
          <w:tab w:val="num" w:pos="360"/>
        </w:tabs>
        <w:ind w:left="360" w:hanging="360"/>
      </w:pPr>
      <w:rPr>
        <w:rFonts w:hint="default"/>
      </w:rPr>
    </w:lvl>
  </w:abstractNum>
  <w:num w:numId="1">
    <w:abstractNumId w:val="4"/>
    <w:lvlOverride w:ilvl="0">
      <w:startOverride w:val="1"/>
    </w:lvlOverride>
  </w:num>
  <w:num w:numId="2">
    <w:abstractNumId w:val="2"/>
    <w:lvlOverride w:ilvl="0">
      <w:startOverride w:val="1"/>
    </w:lvlOverride>
  </w:num>
  <w:num w:numId="3">
    <w:abstractNumId w:val="0"/>
    <w:lvlOverride w:ilvl="0">
      <w:startOverride w:val="1"/>
    </w:lvlOverride>
  </w:num>
  <w:num w:numId="4">
    <w:abstractNumId w:val="5"/>
    <w:lvlOverride w:ilvl="0">
      <w:startOverride w:val="1"/>
    </w:lvlOverride>
  </w:num>
  <w:num w:numId="5">
    <w:abstractNumId w:val="1"/>
    <w:lvlOverride w:ilvl="0">
      <w:startOverride w:val="1"/>
    </w:lvlOverride>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E8"/>
    <w:rsid w:val="00062A27"/>
    <w:rsid w:val="00102AEE"/>
    <w:rsid w:val="004916E8"/>
    <w:rsid w:val="009E06AF"/>
    <w:rsid w:val="00C5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6AF"/>
    <w:pPr>
      <w:autoSpaceDE w:val="0"/>
      <w:autoSpaceDN w:val="0"/>
    </w:pPr>
    <w:rPr>
      <w:rFonts w:ascii=".VnTime" w:hAnsi=".VnTime"/>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02AEE"/>
    <w:pPr>
      <w:tabs>
        <w:tab w:val="center" w:pos="4513"/>
        <w:tab w:val="right" w:pos="9026"/>
      </w:tabs>
    </w:pPr>
  </w:style>
  <w:style w:type="character" w:customStyle="1" w:styleId="FooterChar">
    <w:name w:val="Footer Char"/>
    <w:basedOn w:val="DefaultParagraphFont"/>
    <w:link w:val="Footer"/>
    <w:uiPriority w:val="99"/>
    <w:semiHidden/>
    <w:rsid w:val="00102AEE"/>
    <w:rPr>
      <w:rFonts w:ascii=".VnTime" w:hAnsi=".VnTime"/>
      <w:sz w:val="26"/>
      <w:szCs w:val="26"/>
    </w:rPr>
  </w:style>
  <w:style w:type="character" w:styleId="PageNumber">
    <w:name w:val="page number"/>
    <w:basedOn w:val="DefaultParagraphFont"/>
    <w:rsid w:val="00102A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6AF"/>
    <w:pPr>
      <w:autoSpaceDE w:val="0"/>
      <w:autoSpaceDN w:val="0"/>
    </w:pPr>
    <w:rPr>
      <w:rFonts w:ascii=".VnTime" w:hAnsi=".VnTime"/>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02AEE"/>
    <w:pPr>
      <w:tabs>
        <w:tab w:val="center" w:pos="4513"/>
        <w:tab w:val="right" w:pos="9026"/>
      </w:tabs>
    </w:pPr>
  </w:style>
  <w:style w:type="character" w:customStyle="1" w:styleId="FooterChar">
    <w:name w:val="Footer Char"/>
    <w:basedOn w:val="DefaultParagraphFont"/>
    <w:link w:val="Footer"/>
    <w:uiPriority w:val="99"/>
    <w:semiHidden/>
    <w:rsid w:val="00102AEE"/>
    <w:rPr>
      <w:rFonts w:ascii=".VnTime" w:hAnsi=".VnTime"/>
      <w:sz w:val="26"/>
      <w:szCs w:val="26"/>
    </w:rPr>
  </w:style>
  <w:style w:type="character" w:styleId="PageNumber">
    <w:name w:val="page number"/>
    <w:basedOn w:val="DefaultParagraphFont"/>
    <w:rsid w:val="00102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2460</Words>
  <Characters>14024</Characters>
  <Application>Microsoft Office Word</Application>
  <DocSecurity>0</DocSecurity>
  <Lines>116</Lines>
  <Paragraphs>32</Paragraphs>
  <ScaleCrop>false</ScaleCrop>
  <Company/>
  <LinksUpToDate>false</LinksUpToDate>
  <CharactersWithSpaces>16452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2015-07-13T04:27:00Z</dcterms:created>
  <dcterms:modified xsi:type="dcterms:W3CDTF">2015-07-13T04:27:00Z</dcterms:modified>
</cp:coreProperties>
</file>