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07A" w14:textId="77777777" w:rsidR="001F3C3F" w:rsidRPr="00701114" w:rsidRDefault="001F3C3F" w:rsidP="0062446A">
      <w:pPr>
        <w:rPr>
          <w:sz w:val="26"/>
          <w:szCs w:val="26"/>
        </w:rPr>
      </w:pPr>
    </w:p>
    <w:p w14:paraId="5A6C83F5" w14:textId="77777777" w:rsidR="00E76708" w:rsidRPr="00701114" w:rsidRDefault="000C1ADE" w:rsidP="0062446A">
      <w:pPr>
        <w:jc w:val="center"/>
        <w:rPr>
          <w:b/>
          <w:sz w:val="26"/>
          <w:szCs w:val="26"/>
        </w:rPr>
      </w:pPr>
      <w:r w:rsidRPr="00701114">
        <w:rPr>
          <w:b/>
          <w:sz w:val="26"/>
          <w:szCs w:val="26"/>
        </w:rPr>
        <w:t xml:space="preserve">BẢNG </w:t>
      </w:r>
      <w:r w:rsidR="00E76708" w:rsidRPr="00701114">
        <w:rPr>
          <w:b/>
          <w:sz w:val="26"/>
          <w:szCs w:val="26"/>
        </w:rPr>
        <w:t xml:space="preserve">TỔNG HỢP CÁC NỘI DUNG ĐỀ XUẤT SỬA ĐỔI, BỔ SUNG </w:t>
      </w:r>
      <w:r w:rsidR="00534225">
        <w:rPr>
          <w:b/>
          <w:sz w:val="26"/>
          <w:szCs w:val="26"/>
        </w:rPr>
        <w:t>QUY CHẾ NỘI BỘ VỀ QUẢN TRỊ PJICO</w:t>
      </w:r>
    </w:p>
    <w:p w14:paraId="100F2D77" w14:textId="77777777" w:rsidR="00E76708" w:rsidRPr="00701114" w:rsidRDefault="00E76708" w:rsidP="0062446A">
      <w:pPr>
        <w:jc w:val="center"/>
        <w:rPr>
          <w:b/>
          <w:sz w:val="26"/>
          <w:szCs w:val="26"/>
        </w:rPr>
      </w:pPr>
    </w:p>
    <w:p w14:paraId="314FF171" w14:textId="77777777" w:rsidR="00E76708" w:rsidRPr="00701114" w:rsidRDefault="00E76708" w:rsidP="0062446A">
      <w:pPr>
        <w:numPr>
          <w:ilvl w:val="0"/>
          <w:numId w:val="22"/>
        </w:numPr>
        <w:rPr>
          <w:bCs/>
          <w:sz w:val="26"/>
          <w:szCs w:val="26"/>
        </w:rPr>
      </w:pPr>
      <w:r w:rsidRPr="00701114">
        <w:rPr>
          <w:b/>
          <w:sz w:val="26"/>
          <w:szCs w:val="26"/>
          <w:u w:val="single"/>
        </w:rPr>
        <w:t>Mục đích:</w:t>
      </w:r>
      <w:r w:rsidRPr="00701114">
        <w:rPr>
          <w:b/>
          <w:sz w:val="26"/>
          <w:szCs w:val="26"/>
        </w:rPr>
        <w:t xml:space="preserve"> </w:t>
      </w:r>
      <w:r w:rsidRPr="00701114">
        <w:rPr>
          <w:bCs/>
          <w:sz w:val="26"/>
          <w:szCs w:val="26"/>
        </w:rPr>
        <w:t xml:space="preserve">Tổng hợp các nội dung đề xuất sửa đổi, bổ sung </w:t>
      </w:r>
      <w:r w:rsidR="00534225">
        <w:rPr>
          <w:bCs/>
          <w:sz w:val="26"/>
          <w:szCs w:val="26"/>
        </w:rPr>
        <w:t>Quy chế nội bộ về quản trị PJICO</w:t>
      </w:r>
    </w:p>
    <w:p w14:paraId="62EE5344" w14:textId="77777777" w:rsidR="000C1ADE" w:rsidRPr="00701114" w:rsidRDefault="00E76708" w:rsidP="0062446A">
      <w:pPr>
        <w:numPr>
          <w:ilvl w:val="0"/>
          <w:numId w:val="22"/>
        </w:numPr>
        <w:rPr>
          <w:b/>
          <w:sz w:val="26"/>
          <w:szCs w:val="26"/>
          <w:u w:val="single"/>
        </w:rPr>
      </w:pPr>
      <w:r w:rsidRPr="00701114">
        <w:rPr>
          <w:b/>
          <w:sz w:val="26"/>
          <w:szCs w:val="26"/>
          <w:u w:val="single"/>
        </w:rPr>
        <w:t>Căn cứ:</w:t>
      </w:r>
      <w:r w:rsidR="00361C60" w:rsidRPr="00701114">
        <w:rPr>
          <w:b/>
          <w:sz w:val="26"/>
          <w:szCs w:val="26"/>
          <w:u w:val="single"/>
        </w:rPr>
        <w:t xml:space="preserve"> </w:t>
      </w:r>
    </w:p>
    <w:p w14:paraId="6BFD4206" w14:textId="77777777" w:rsidR="00E76708" w:rsidRPr="00701114" w:rsidRDefault="00E76708" w:rsidP="0062446A">
      <w:pPr>
        <w:widowControl w:val="0"/>
        <w:numPr>
          <w:ilvl w:val="0"/>
          <w:numId w:val="23"/>
        </w:numPr>
        <w:jc w:val="both"/>
        <w:rPr>
          <w:sz w:val="26"/>
          <w:szCs w:val="26"/>
          <w:lang w:val="nl-NL"/>
        </w:rPr>
      </w:pPr>
      <w:r w:rsidRPr="00701114">
        <w:rPr>
          <w:sz w:val="26"/>
          <w:szCs w:val="26"/>
          <w:lang w:val="nl-NL"/>
        </w:rPr>
        <w:t>Luật Doanh nghiệp số 59/2020/QH14 ngày 17 tháng 06 năm 2020 đã được sửa đổi, bổ sung một số điều theo Luật số 03/2022/QH15 và Luật số 76/2025/QH15;</w:t>
      </w:r>
    </w:p>
    <w:p w14:paraId="6DDAD6B7" w14:textId="77777777" w:rsidR="00E76708" w:rsidRPr="00701114" w:rsidRDefault="00E76708" w:rsidP="0062446A">
      <w:pPr>
        <w:widowControl w:val="0"/>
        <w:numPr>
          <w:ilvl w:val="0"/>
          <w:numId w:val="23"/>
        </w:numPr>
        <w:jc w:val="both"/>
        <w:rPr>
          <w:sz w:val="26"/>
          <w:szCs w:val="26"/>
          <w:lang w:val="nl-NL"/>
        </w:rPr>
      </w:pPr>
      <w:r w:rsidRPr="00701114">
        <w:rPr>
          <w:sz w:val="26"/>
          <w:szCs w:val="26"/>
          <w:lang w:val="nl-NL"/>
        </w:rPr>
        <w:t>Luật Chứng khoán số 54/2019/QH14 ngày 26/11/2019 đã được sửa đổi, bổ sung một số điều theo Luật số 56/2024/QH15;</w:t>
      </w:r>
    </w:p>
    <w:p w14:paraId="7F6C121A" w14:textId="77777777" w:rsidR="00E76708" w:rsidRPr="00701114" w:rsidRDefault="00E76708" w:rsidP="0062446A">
      <w:pPr>
        <w:widowControl w:val="0"/>
        <w:numPr>
          <w:ilvl w:val="0"/>
          <w:numId w:val="23"/>
        </w:numPr>
        <w:jc w:val="both"/>
        <w:rPr>
          <w:rStyle w:val="font12boldblack"/>
          <w:sz w:val="26"/>
          <w:szCs w:val="26"/>
          <w:lang w:val="nl-NL"/>
        </w:rPr>
      </w:pPr>
      <w:r w:rsidRPr="00701114">
        <w:rPr>
          <w:sz w:val="26"/>
          <w:szCs w:val="26"/>
          <w:lang w:val="nl-NL"/>
        </w:rPr>
        <w:t>Luật Kinh doanh Bảo hiểm số</w:t>
      </w:r>
      <w:r w:rsidRPr="00701114">
        <w:rPr>
          <w:rStyle w:val="font12boldblack"/>
          <w:sz w:val="26"/>
          <w:szCs w:val="26"/>
          <w:lang w:val="nl-NL"/>
        </w:rPr>
        <w:t xml:space="preserve"> 08/2022/QH15 ngày 16/06/2022 </w:t>
      </w:r>
      <w:r w:rsidRPr="00701114">
        <w:rPr>
          <w:sz w:val="26"/>
          <w:szCs w:val="26"/>
          <w:lang w:val="nl-NL"/>
        </w:rPr>
        <w:t>đã được sửa đổi, bổ sung một số điều theo</w:t>
      </w:r>
      <w:r w:rsidRPr="00701114">
        <w:rPr>
          <w:rStyle w:val="font12boldblack"/>
          <w:sz w:val="26"/>
          <w:szCs w:val="26"/>
          <w:lang w:val="nl-NL"/>
        </w:rPr>
        <w:t xml:space="preserve"> Luật số 139/2025/QH15;</w:t>
      </w:r>
    </w:p>
    <w:p w14:paraId="6FFF77BD" w14:textId="77777777" w:rsidR="00E76708" w:rsidRPr="00701114" w:rsidRDefault="00E76708" w:rsidP="0062446A">
      <w:pPr>
        <w:widowControl w:val="0"/>
        <w:numPr>
          <w:ilvl w:val="0"/>
          <w:numId w:val="23"/>
        </w:numPr>
        <w:jc w:val="both"/>
        <w:rPr>
          <w:sz w:val="26"/>
          <w:szCs w:val="26"/>
          <w:lang w:val="nl-NL"/>
        </w:rPr>
      </w:pPr>
      <w:r w:rsidRPr="00701114">
        <w:rPr>
          <w:sz w:val="26"/>
          <w:szCs w:val="26"/>
          <w:lang w:val="nl-NL"/>
        </w:rPr>
        <w:t>Nghị định số 155/2020/NĐ-CP ngày 31/12/2020 của Chính Phủ đã được sửa đổi, bổ sung một số điều theo Nghị định số 245/2025/NĐ-CP.</w:t>
      </w:r>
    </w:p>
    <w:p w14:paraId="36A17716" w14:textId="77777777" w:rsidR="00E76708" w:rsidRDefault="00E76708" w:rsidP="0062446A">
      <w:pPr>
        <w:widowControl w:val="0"/>
        <w:numPr>
          <w:ilvl w:val="0"/>
          <w:numId w:val="23"/>
        </w:numPr>
        <w:jc w:val="both"/>
        <w:rPr>
          <w:bCs/>
          <w:sz w:val="26"/>
          <w:szCs w:val="26"/>
          <w:lang w:val="nl-NL"/>
        </w:rPr>
      </w:pPr>
      <w:r w:rsidRPr="00701114">
        <w:rPr>
          <w:sz w:val="26"/>
          <w:szCs w:val="26"/>
          <w:lang w:val="vi-VN"/>
        </w:rPr>
        <w:t xml:space="preserve">Thông tư số </w:t>
      </w:r>
      <w:r w:rsidRPr="00D0182E">
        <w:rPr>
          <w:sz w:val="26"/>
          <w:szCs w:val="26"/>
          <w:lang w:val="nl-NL"/>
        </w:rPr>
        <w:t>116</w:t>
      </w:r>
      <w:r w:rsidRPr="00701114">
        <w:rPr>
          <w:sz w:val="26"/>
          <w:szCs w:val="26"/>
          <w:lang w:val="vi-VN"/>
        </w:rPr>
        <w:t>/20</w:t>
      </w:r>
      <w:r w:rsidRPr="00D0182E">
        <w:rPr>
          <w:sz w:val="26"/>
          <w:szCs w:val="26"/>
          <w:lang w:val="nl-NL"/>
        </w:rPr>
        <w:t>20</w:t>
      </w:r>
      <w:r w:rsidRPr="00701114">
        <w:rPr>
          <w:sz w:val="26"/>
          <w:szCs w:val="26"/>
          <w:lang w:val="vi-VN"/>
        </w:rPr>
        <w:t xml:space="preserve">/TT-BTC ngày </w:t>
      </w:r>
      <w:r w:rsidRPr="00D0182E">
        <w:rPr>
          <w:sz w:val="26"/>
          <w:szCs w:val="26"/>
          <w:lang w:val="nl-NL"/>
        </w:rPr>
        <w:t>31</w:t>
      </w:r>
      <w:r w:rsidRPr="00701114">
        <w:rPr>
          <w:sz w:val="26"/>
          <w:szCs w:val="26"/>
          <w:lang w:val="vi-VN"/>
        </w:rPr>
        <w:t xml:space="preserve"> tháng </w:t>
      </w:r>
      <w:r w:rsidRPr="00D0182E">
        <w:rPr>
          <w:sz w:val="26"/>
          <w:szCs w:val="26"/>
          <w:lang w:val="nl-NL"/>
        </w:rPr>
        <w:t>12</w:t>
      </w:r>
      <w:r w:rsidRPr="00701114">
        <w:rPr>
          <w:sz w:val="26"/>
          <w:szCs w:val="26"/>
          <w:lang w:val="vi-VN"/>
        </w:rPr>
        <w:t xml:space="preserve"> năm 20</w:t>
      </w:r>
      <w:r w:rsidRPr="00D0182E">
        <w:rPr>
          <w:sz w:val="26"/>
          <w:szCs w:val="26"/>
          <w:lang w:val="nl-NL"/>
        </w:rPr>
        <w:t>20</w:t>
      </w:r>
      <w:r w:rsidRPr="00701114">
        <w:rPr>
          <w:sz w:val="26"/>
          <w:szCs w:val="26"/>
          <w:lang w:val="vi-VN"/>
        </w:rPr>
        <w:t xml:space="preserve"> của Bộ Tài chính hướng dẫn một số điều </w:t>
      </w:r>
      <w:r w:rsidRPr="00D0182E">
        <w:rPr>
          <w:sz w:val="26"/>
          <w:szCs w:val="26"/>
          <w:lang w:val="nl-NL"/>
        </w:rPr>
        <w:t xml:space="preserve">về quản trị công ty áp dụng đối với công ty đại chúng tại </w:t>
      </w:r>
      <w:r w:rsidRPr="00701114">
        <w:rPr>
          <w:sz w:val="26"/>
          <w:szCs w:val="26"/>
          <w:lang w:val="vi-VN"/>
        </w:rPr>
        <w:t xml:space="preserve">Nghị định số </w:t>
      </w:r>
      <w:r w:rsidRPr="00D0182E">
        <w:rPr>
          <w:sz w:val="26"/>
          <w:szCs w:val="26"/>
          <w:lang w:val="nl-NL"/>
        </w:rPr>
        <w:t xml:space="preserve">155/2020/NĐ-CP </w:t>
      </w:r>
      <w:r w:rsidRPr="00701114">
        <w:rPr>
          <w:sz w:val="26"/>
          <w:szCs w:val="26"/>
          <w:lang w:val="vi-VN"/>
        </w:rPr>
        <w:t xml:space="preserve">ngày </w:t>
      </w:r>
      <w:r w:rsidRPr="00D0182E">
        <w:rPr>
          <w:sz w:val="26"/>
          <w:szCs w:val="26"/>
          <w:lang w:val="nl-NL"/>
        </w:rPr>
        <w:t>31</w:t>
      </w:r>
      <w:r w:rsidRPr="00701114">
        <w:rPr>
          <w:sz w:val="26"/>
          <w:szCs w:val="26"/>
          <w:lang w:val="vi-VN"/>
        </w:rPr>
        <w:t xml:space="preserve"> tháng </w:t>
      </w:r>
      <w:r w:rsidRPr="00D0182E">
        <w:rPr>
          <w:sz w:val="26"/>
          <w:szCs w:val="26"/>
          <w:lang w:val="nl-NL"/>
        </w:rPr>
        <w:t>12</w:t>
      </w:r>
      <w:r w:rsidRPr="00701114">
        <w:rPr>
          <w:sz w:val="26"/>
          <w:szCs w:val="26"/>
          <w:lang w:val="vi-VN"/>
        </w:rPr>
        <w:t xml:space="preserve"> năm 20</w:t>
      </w:r>
      <w:r w:rsidRPr="00D0182E">
        <w:rPr>
          <w:sz w:val="26"/>
          <w:szCs w:val="26"/>
          <w:lang w:val="nl-NL"/>
        </w:rPr>
        <w:t>20</w:t>
      </w:r>
      <w:r w:rsidRPr="00701114">
        <w:rPr>
          <w:sz w:val="26"/>
          <w:szCs w:val="26"/>
          <w:lang w:val="vi-VN"/>
        </w:rPr>
        <w:t xml:space="preserve"> của Chính phủ </w:t>
      </w:r>
      <w:r w:rsidRPr="00D0182E">
        <w:rPr>
          <w:sz w:val="26"/>
          <w:szCs w:val="26"/>
          <w:lang w:val="nl-NL"/>
        </w:rPr>
        <w:t>quy định chi tiết thi hành một số điều của Luật Chứng khoán</w:t>
      </w:r>
      <w:r w:rsidRPr="00701114">
        <w:rPr>
          <w:bCs/>
          <w:sz w:val="26"/>
          <w:szCs w:val="26"/>
          <w:lang w:val="nl-NL"/>
        </w:rPr>
        <w:t xml:space="preserve">; </w:t>
      </w:r>
    </w:p>
    <w:p w14:paraId="6B625058" w14:textId="77777777" w:rsidR="00534225" w:rsidRPr="00701114" w:rsidRDefault="00534225" w:rsidP="0062446A">
      <w:pPr>
        <w:widowControl w:val="0"/>
        <w:numPr>
          <w:ilvl w:val="0"/>
          <w:numId w:val="23"/>
        </w:numPr>
        <w:jc w:val="both"/>
        <w:rPr>
          <w:bCs/>
          <w:sz w:val="26"/>
          <w:szCs w:val="26"/>
          <w:lang w:val="nl-NL"/>
        </w:rPr>
      </w:pPr>
      <w:r>
        <w:rPr>
          <w:bCs/>
          <w:sz w:val="26"/>
          <w:szCs w:val="26"/>
          <w:lang w:val="nl-NL"/>
        </w:rPr>
        <w:t>Quy chế nội bộ về quản trị Tổng công ty cổ phần bảo hiểm Petrolimex được ban hành kèm theo Quyết định số 31/2021/PJICO/QĐ-HĐQT ngày 08/6/2021.</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87"/>
        <w:gridCol w:w="4302"/>
        <w:gridCol w:w="4828"/>
        <w:gridCol w:w="2649"/>
      </w:tblGrid>
      <w:tr w:rsidR="00584E2A" w:rsidRPr="00701114" w14:paraId="22506504" w14:textId="77777777" w:rsidTr="0062446A">
        <w:trPr>
          <w:trHeight w:val="758"/>
        </w:trPr>
        <w:tc>
          <w:tcPr>
            <w:tcW w:w="851" w:type="dxa"/>
            <w:vAlign w:val="center"/>
          </w:tcPr>
          <w:p w14:paraId="35B13981" w14:textId="77777777" w:rsidR="00384CE6" w:rsidRPr="00701114" w:rsidRDefault="00384CE6" w:rsidP="0062446A">
            <w:pPr>
              <w:jc w:val="center"/>
              <w:rPr>
                <w:b/>
                <w:sz w:val="26"/>
                <w:szCs w:val="26"/>
              </w:rPr>
            </w:pPr>
            <w:r w:rsidRPr="00701114">
              <w:rPr>
                <w:b/>
                <w:sz w:val="26"/>
                <w:szCs w:val="26"/>
              </w:rPr>
              <w:t>STT</w:t>
            </w:r>
          </w:p>
        </w:tc>
        <w:tc>
          <w:tcPr>
            <w:tcW w:w="1687" w:type="dxa"/>
            <w:vAlign w:val="center"/>
          </w:tcPr>
          <w:p w14:paraId="6AF7D550" w14:textId="77777777" w:rsidR="00384CE6" w:rsidRPr="00701114" w:rsidRDefault="00384CE6" w:rsidP="0062446A">
            <w:pPr>
              <w:jc w:val="center"/>
              <w:rPr>
                <w:b/>
                <w:sz w:val="26"/>
                <w:szCs w:val="26"/>
              </w:rPr>
            </w:pPr>
            <w:r w:rsidRPr="00701114">
              <w:rPr>
                <w:b/>
                <w:sz w:val="26"/>
                <w:szCs w:val="26"/>
              </w:rPr>
              <w:t>Điều khoản</w:t>
            </w:r>
          </w:p>
        </w:tc>
        <w:tc>
          <w:tcPr>
            <w:tcW w:w="4302" w:type="dxa"/>
            <w:vAlign w:val="center"/>
          </w:tcPr>
          <w:p w14:paraId="40BF5AE5" w14:textId="77777777" w:rsidR="00384CE6" w:rsidRPr="00701114" w:rsidRDefault="00EC73E5" w:rsidP="0062446A">
            <w:pPr>
              <w:jc w:val="center"/>
              <w:rPr>
                <w:b/>
                <w:sz w:val="26"/>
                <w:szCs w:val="26"/>
              </w:rPr>
            </w:pPr>
            <w:r>
              <w:rPr>
                <w:b/>
                <w:sz w:val="26"/>
                <w:szCs w:val="26"/>
              </w:rPr>
              <w:t>Quy chế hiện hành</w:t>
            </w:r>
          </w:p>
        </w:tc>
        <w:tc>
          <w:tcPr>
            <w:tcW w:w="4828" w:type="dxa"/>
            <w:vAlign w:val="center"/>
          </w:tcPr>
          <w:p w14:paraId="080ECE59" w14:textId="77777777" w:rsidR="00384CE6" w:rsidRPr="00701114" w:rsidRDefault="00EC73E5" w:rsidP="0062446A">
            <w:pPr>
              <w:jc w:val="center"/>
              <w:rPr>
                <w:b/>
                <w:sz w:val="26"/>
                <w:szCs w:val="26"/>
              </w:rPr>
            </w:pPr>
            <w:r>
              <w:rPr>
                <w:b/>
                <w:sz w:val="26"/>
                <w:szCs w:val="26"/>
              </w:rPr>
              <w:t>Dự thảo Quy chế 2026</w:t>
            </w:r>
          </w:p>
        </w:tc>
        <w:tc>
          <w:tcPr>
            <w:tcW w:w="2649" w:type="dxa"/>
            <w:vAlign w:val="center"/>
          </w:tcPr>
          <w:p w14:paraId="3B0EE6ED" w14:textId="77777777" w:rsidR="00701114" w:rsidRDefault="00384CE6" w:rsidP="00701114">
            <w:pPr>
              <w:jc w:val="center"/>
              <w:rPr>
                <w:b/>
                <w:sz w:val="26"/>
                <w:szCs w:val="26"/>
              </w:rPr>
            </w:pPr>
            <w:r w:rsidRPr="00701114">
              <w:rPr>
                <w:b/>
                <w:sz w:val="26"/>
                <w:szCs w:val="26"/>
              </w:rPr>
              <w:t xml:space="preserve">Lý do/Căn cứ </w:t>
            </w:r>
          </w:p>
          <w:p w14:paraId="45BDED96" w14:textId="77777777" w:rsidR="00384CE6" w:rsidRPr="00701114" w:rsidRDefault="00384CE6" w:rsidP="00701114">
            <w:pPr>
              <w:jc w:val="center"/>
              <w:rPr>
                <w:b/>
                <w:sz w:val="26"/>
                <w:szCs w:val="26"/>
              </w:rPr>
            </w:pPr>
            <w:r w:rsidRPr="00701114">
              <w:rPr>
                <w:b/>
                <w:sz w:val="26"/>
                <w:szCs w:val="26"/>
              </w:rPr>
              <w:t>sửa đổi, bổ sung</w:t>
            </w:r>
          </w:p>
        </w:tc>
      </w:tr>
      <w:tr w:rsidR="00584E2A" w:rsidRPr="00D0182E" w14:paraId="43DD98FB" w14:textId="77777777" w:rsidTr="0062446A">
        <w:trPr>
          <w:trHeight w:val="2305"/>
        </w:trPr>
        <w:tc>
          <w:tcPr>
            <w:tcW w:w="851" w:type="dxa"/>
            <w:vAlign w:val="center"/>
          </w:tcPr>
          <w:p w14:paraId="014015E9" w14:textId="77777777" w:rsidR="00384CE6" w:rsidRPr="00701114" w:rsidRDefault="00384CE6" w:rsidP="0062446A">
            <w:pPr>
              <w:numPr>
                <w:ilvl w:val="0"/>
                <w:numId w:val="26"/>
              </w:numPr>
              <w:rPr>
                <w:bCs/>
                <w:sz w:val="26"/>
                <w:szCs w:val="26"/>
              </w:rPr>
            </w:pPr>
          </w:p>
        </w:tc>
        <w:tc>
          <w:tcPr>
            <w:tcW w:w="1687" w:type="dxa"/>
            <w:vAlign w:val="center"/>
          </w:tcPr>
          <w:p w14:paraId="12953BC0" w14:textId="77777777" w:rsidR="00384CE6" w:rsidRPr="00701114" w:rsidRDefault="00EC73E5" w:rsidP="0062446A">
            <w:pPr>
              <w:jc w:val="center"/>
              <w:rPr>
                <w:bCs/>
                <w:sz w:val="26"/>
                <w:szCs w:val="26"/>
              </w:rPr>
            </w:pPr>
            <w:r>
              <w:rPr>
                <w:bCs/>
                <w:sz w:val="26"/>
                <w:szCs w:val="26"/>
              </w:rPr>
              <w:t>Khoản 1 Điều 1</w:t>
            </w:r>
          </w:p>
        </w:tc>
        <w:tc>
          <w:tcPr>
            <w:tcW w:w="4302" w:type="dxa"/>
            <w:vAlign w:val="center"/>
          </w:tcPr>
          <w:p w14:paraId="0221FFC2" w14:textId="77777777" w:rsidR="00EC73E5" w:rsidRPr="00EC73E5" w:rsidRDefault="00EC73E5" w:rsidP="0062446A">
            <w:pPr>
              <w:jc w:val="both"/>
              <w:rPr>
                <w:b/>
                <w:sz w:val="26"/>
                <w:szCs w:val="26"/>
              </w:rPr>
            </w:pPr>
            <w:r w:rsidRPr="00EC73E5">
              <w:rPr>
                <w:b/>
                <w:sz w:val="26"/>
                <w:szCs w:val="26"/>
              </w:rPr>
              <w:t xml:space="preserve">Điều 1: Mục đích ban hành, phạm vi điều chỉnh và đối tượng áp dụng </w:t>
            </w:r>
          </w:p>
          <w:p w14:paraId="6D5D6DA2" w14:textId="77777777" w:rsidR="00EC73E5" w:rsidRDefault="00EC73E5" w:rsidP="0062446A">
            <w:pPr>
              <w:jc w:val="both"/>
              <w:rPr>
                <w:bCs/>
                <w:sz w:val="26"/>
                <w:szCs w:val="26"/>
              </w:rPr>
            </w:pPr>
            <w:r w:rsidRPr="00EC73E5">
              <w:rPr>
                <w:bCs/>
                <w:sz w:val="26"/>
                <w:szCs w:val="26"/>
              </w:rPr>
              <w:t>Quy chế nội bộ về quản trị Tổng công ty cổ phần Bảo hiểm Petrolimex (sau đây viết tắt là “Quy chế quản trị”) áp dụng trong phạm vi Tổng công ty cổ phần Bảo hiểm Petrolimex (sau đây viết tắt là “Tổng công ty”). Quy chế này được xây dựng theo quy định của:</w:t>
            </w:r>
          </w:p>
          <w:p w14:paraId="3443D23C" w14:textId="77777777" w:rsidR="00EC73E5" w:rsidRDefault="00EC73E5" w:rsidP="0062446A">
            <w:pPr>
              <w:jc w:val="both"/>
              <w:rPr>
                <w:bCs/>
                <w:sz w:val="26"/>
                <w:szCs w:val="26"/>
              </w:rPr>
            </w:pPr>
            <w:r w:rsidRPr="00EC73E5">
              <w:rPr>
                <w:bCs/>
                <w:sz w:val="26"/>
                <w:szCs w:val="26"/>
              </w:rPr>
              <w:t xml:space="preserve"> a. Luật Doanh nghiệp số 59/2020/QH14 ngày 17 tháng 06 năm 2020; </w:t>
            </w:r>
          </w:p>
          <w:p w14:paraId="28E509A9" w14:textId="77777777" w:rsidR="00EC73E5" w:rsidRDefault="00EC73E5" w:rsidP="0062446A">
            <w:pPr>
              <w:jc w:val="both"/>
              <w:rPr>
                <w:bCs/>
                <w:sz w:val="26"/>
                <w:szCs w:val="26"/>
              </w:rPr>
            </w:pPr>
            <w:r w:rsidRPr="00EC73E5">
              <w:rPr>
                <w:bCs/>
                <w:sz w:val="26"/>
                <w:szCs w:val="26"/>
              </w:rPr>
              <w:t xml:space="preserve">b. Luật Chứng khoán số 54/2019/QH14 ngày 26/11/2019; </w:t>
            </w:r>
          </w:p>
          <w:p w14:paraId="75B06545" w14:textId="77777777" w:rsidR="00EC73E5" w:rsidRDefault="00EC73E5" w:rsidP="0062446A">
            <w:pPr>
              <w:jc w:val="both"/>
              <w:rPr>
                <w:bCs/>
                <w:sz w:val="26"/>
                <w:szCs w:val="26"/>
              </w:rPr>
            </w:pPr>
            <w:r w:rsidRPr="00EC73E5">
              <w:rPr>
                <w:bCs/>
                <w:sz w:val="26"/>
                <w:szCs w:val="26"/>
              </w:rPr>
              <w:t xml:space="preserve">c. Luật Kinh doanh Bảo hiểm số </w:t>
            </w:r>
            <w:r w:rsidRPr="00EC73E5">
              <w:rPr>
                <w:bCs/>
                <w:sz w:val="26"/>
                <w:szCs w:val="26"/>
              </w:rPr>
              <w:lastRenderedPageBreak/>
              <w:t xml:space="preserve">24/2000/QH10 ngày 09/12/2000; </w:t>
            </w:r>
          </w:p>
          <w:p w14:paraId="0B29EFD8" w14:textId="77777777" w:rsidR="00EC73E5" w:rsidRDefault="00EC73E5" w:rsidP="0062446A">
            <w:pPr>
              <w:jc w:val="both"/>
              <w:rPr>
                <w:bCs/>
                <w:sz w:val="26"/>
                <w:szCs w:val="26"/>
              </w:rPr>
            </w:pPr>
            <w:r w:rsidRPr="00EC73E5">
              <w:rPr>
                <w:bCs/>
                <w:sz w:val="26"/>
                <w:szCs w:val="26"/>
              </w:rPr>
              <w:t xml:space="preserve">d. Căn cứ Luật sửa đổi, bổ sung một số điều của Luật Kinh doanh bảo hiểm ngày 24 tháng 11 năm 2010; </w:t>
            </w:r>
          </w:p>
          <w:p w14:paraId="62E2FAF9" w14:textId="77777777" w:rsidR="00EC73E5" w:rsidRDefault="00EC73E5" w:rsidP="0062446A">
            <w:pPr>
              <w:jc w:val="both"/>
              <w:rPr>
                <w:bCs/>
                <w:sz w:val="26"/>
                <w:szCs w:val="26"/>
              </w:rPr>
            </w:pPr>
            <w:r w:rsidRPr="00EC73E5">
              <w:rPr>
                <w:bCs/>
                <w:sz w:val="26"/>
                <w:szCs w:val="26"/>
              </w:rPr>
              <w:t xml:space="preserve">e. Nghị định số 155/2020/NĐ-CP ngày 31/12/2020 của Chính phủ quy định chi tiết thi hành một số điều của Luật Chứng khoán; </w:t>
            </w:r>
          </w:p>
          <w:p w14:paraId="38C30391" w14:textId="77777777" w:rsidR="00EC73E5" w:rsidRDefault="00EC73E5" w:rsidP="0062446A">
            <w:pPr>
              <w:jc w:val="both"/>
              <w:rPr>
                <w:bCs/>
                <w:sz w:val="26"/>
                <w:szCs w:val="26"/>
              </w:rPr>
            </w:pPr>
            <w:r w:rsidRPr="00EC73E5">
              <w:rPr>
                <w:bCs/>
                <w:sz w:val="26"/>
                <w:szCs w:val="26"/>
              </w:rPr>
              <w:t xml:space="preserve">f. Thông tư số 116/2020/TT-BTC ngày 31 tháng 12 năm 2020 của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 </w:t>
            </w:r>
          </w:p>
          <w:p w14:paraId="2C6C94BD" w14:textId="77777777" w:rsidR="00384CE6" w:rsidRPr="00701114" w:rsidRDefault="00EC73E5" w:rsidP="0062446A">
            <w:pPr>
              <w:jc w:val="both"/>
              <w:rPr>
                <w:bCs/>
                <w:sz w:val="26"/>
                <w:szCs w:val="26"/>
              </w:rPr>
            </w:pPr>
            <w:r w:rsidRPr="00EC73E5">
              <w:rPr>
                <w:bCs/>
                <w:sz w:val="26"/>
                <w:szCs w:val="26"/>
              </w:rPr>
              <w:t>g. Điều lệ tổ chức &amp; hoạt động của Tổng công ty được Đại hội đồng cổ đông thông qua ngày 19 tháng 04 năm 2021.</w:t>
            </w:r>
          </w:p>
        </w:tc>
        <w:tc>
          <w:tcPr>
            <w:tcW w:w="4828" w:type="dxa"/>
            <w:vAlign w:val="center"/>
          </w:tcPr>
          <w:p w14:paraId="5C92DFF0" w14:textId="77777777" w:rsidR="00EC73E5" w:rsidRPr="00CE7D1C" w:rsidRDefault="00EC73E5" w:rsidP="00EC73E5">
            <w:pPr>
              <w:rPr>
                <w:b/>
                <w:sz w:val="26"/>
                <w:szCs w:val="26"/>
                <w:lang w:val="nl-NL"/>
              </w:rPr>
            </w:pPr>
            <w:r w:rsidRPr="00CE7D1C">
              <w:rPr>
                <w:b/>
                <w:sz w:val="26"/>
                <w:szCs w:val="26"/>
                <w:lang w:val="nl-NL"/>
              </w:rPr>
              <w:lastRenderedPageBreak/>
              <w:t xml:space="preserve">Điều 1: </w:t>
            </w:r>
            <w:r w:rsidRPr="00EC73E5">
              <w:rPr>
                <w:b/>
                <w:sz w:val="26"/>
                <w:szCs w:val="26"/>
                <w:u w:val="single"/>
                <w:lang w:val="nl-NL"/>
              </w:rPr>
              <w:t>Căn cứ pháp lý</w:t>
            </w:r>
            <w:r>
              <w:rPr>
                <w:b/>
                <w:sz w:val="26"/>
                <w:szCs w:val="26"/>
                <w:lang w:val="nl-NL"/>
              </w:rPr>
              <w:t xml:space="preserve">, </w:t>
            </w:r>
            <w:r>
              <w:rPr>
                <w:b/>
                <w:sz w:val="26"/>
                <w:szCs w:val="26"/>
              </w:rPr>
              <w:t>m</w:t>
            </w:r>
            <w:r w:rsidRPr="00CE7D1C">
              <w:rPr>
                <w:b/>
                <w:sz w:val="26"/>
                <w:szCs w:val="26"/>
              </w:rPr>
              <w:t>ục đích ban hành, phạm vi điều chỉnh và đối tượng áp dụng</w:t>
            </w:r>
          </w:p>
          <w:p w14:paraId="09A5ECC2" w14:textId="77777777" w:rsidR="00EC73E5" w:rsidRPr="00CE7D1C" w:rsidRDefault="00EC73E5" w:rsidP="00EC73E5">
            <w:pPr>
              <w:widowControl w:val="0"/>
              <w:spacing w:after="120"/>
              <w:jc w:val="both"/>
              <w:rPr>
                <w:sz w:val="26"/>
                <w:szCs w:val="26"/>
                <w:lang w:val="nl-NL"/>
              </w:rPr>
            </w:pPr>
            <w:r w:rsidRPr="00CE7D1C">
              <w:rPr>
                <w:sz w:val="26"/>
                <w:szCs w:val="26"/>
                <w:lang w:val="nl-NL"/>
              </w:rPr>
              <w:t>1. Quy chế nội bộ về quản trị Tổng công ty cổ phần Bảo hiểm Petrolimex (sau đây viết tắt là “Quy chế quản trị”) áp dụng trong phạm vi Tổng công ty cổ phần Bảo hiểm Petrolimex (sau đây viết tắt là “Tổng công ty</w:t>
            </w:r>
            <w:r>
              <w:rPr>
                <w:sz w:val="26"/>
                <w:szCs w:val="26"/>
                <w:lang w:val="nl-NL"/>
              </w:rPr>
              <w:t>/PJICO</w:t>
            </w:r>
            <w:r w:rsidRPr="00CE7D1C">
              <w:rPr>
                <w:sz w:val="26"/>
                <w:szCs w:val="26"/>
                <w:lang w:val="nl-NL"/>
              </w:rPr>
              <w:t xml:space="preserve">”). Quy chế này được xây dựng theo quy định của: </w:t>
            </w:r>
          </w:p>
          <w:p w14:paraId="3D78778A" w14:textId="77777777" w:rsidR="00EC73E5" w:rsidRPr="00CE7D1C" w:rsidRDefault="00EC73E5" w:rsidP="00EC73E5">
            <w:pPr>
              <w:widowControl w:val="0"/>
              <w:spacing w:after="120"/>
              <w:jc w:val="both"/>
              <w:rPr>
                <w:sz w:val="26"/>
                <w:szCs w:val="26"/>
                <w:lang w:val="nl-NL"/>
              </w:rPr>
            </w:pPr>
            <w:r w:rsidRPr="00CE7D1C">
              <w:rPr>
                <w:sz w:val="26"/>
                <w:szCs w:val="26"/>
                <w:lang w:val="nl-NL"/>
              </w:rPr>
              <w:t xml:space="preserve">a. Luật Doanh nghiệp số 59/2020/QH14 ngày </w:t>
            </w:r>
            <w:r>
              <w:rPr>
                <w:sz w:val="26"/>
                <w:szCs w:val="26"/>
                <w:lang w:val="nl-NL"/>
              </w:rPr>
              <w:t xml:space="preserve">17/6/2020 </w:t>
            </w:r>
            <w:r w:rsidRPr="0048209D">
              <w:rPr>
                <w:sz w:val="26"/>
                <w:szCs w:val="26"/>
                <w:lang w:val="nl-NL"/>
              </w:rPr>
              <w:t>đã được sửa đổi, bổ sung một số điều theo Luật số 03/2022/QH15</w:t>
            </w:r>
            <w:r>
              <w:rPr>
                <w:sz w:val="26"/>
                <w:szCs w:val="26"/>
                <w:lang w:val="nl-NL"/>
              </w:rPr>
              <w:t xml:space="preserve"> và Luật số </w:t>
            </w:r>
            <w:r w:rsidRPr="0048209D">
              <w:rPr>
                <w:sz w:val="26"/>
                <w:szCs w:val="26"/>
                <w:lang w:val="nl-NL"/>
              </w:rPr>
              <w:t>76/2025/QH15</w:t>
            </w:r>
            <w:r>
              <w:rPr>
                <w:sz w:val="26"/>
                <w:szCs w:val="26"/>
                <w:lang w:val="nl-NL"/>
              </w:rPr>
              <w:t>;</w:t>
            </w:r>
          </w:p>
          <w:p w14:paraId="518EB14A" w14:textId="77777777" w:rsidR="00EC73E5" w:rsidRPr="00CE7D1C" w:rsidRDefault="00EC73E5" w:rsidP="00EC73E5">
            <w:pPr>
              <w:widowControl w:val="0"/>
              <w:spacing w:after="120"/>
              <w:jc w:val="both"/>
              <w:rPr>
                <w:sz w:val="26"/>
                <w:szCs w:val="26"/>
                <w:lang w:val="nl-NL"/>
              </w:rPr>
            </w:pPr>
            <w:r w:rsidRPr="00CE7D1C">
              <w:rPr>
                <w:sz w:val="26"/>
                <w:szCs w:val="26"/>
                <w:lang w:val="nl-NL"/>
              </w:rPr>
              <w:t xml:space="preserve">b. Luật Chứng khoán số 54/2019/QH14 </w:t>
            </w:r>
            <w:r w:rsidRPr="00CE7D1C">
              <w:rPr>
                <w:sz w:val="26"/>
                <w:szCs w:val="26"/>
                <w:lang w:val="nl-NL"/>
              </w:rPr>
              <w:lastRenderedPageBreak/>
              <w:t>ngày 26/11/2019</w:t>
            </w:r>
            <w:r>
              <w:rPr>
                <w:sz w:val="26"/>
                <w:szCs w:val="26"/>
                <w:lang w:val="nl-NL"/>
              </w:rPr>
              <w:t xml:space="preserve"> </w:t>
            </w:r>
            <w:r w:rsidRPr="0048209D">
              <w:rPr>
                <w:sz w:val="26"/>
                <w:szCs w:val="26"/>
                <w:lang w:val="nl-NL"/>
              </w:rPr>
              <w:t>đã được sửa đổi, bổ sung một số điều theo Luật số</w:t>
            </w:r>
            <w:r>
              <w:rPr>
                <w:sz w:val="26"/>
                <w:szCs w:val="26"/>
                <w:lang w:val="nl-NL"/>
              </w:rPr>
              <w:t xml:space="preserve"> </w:t>
            </w:r>
            <w:r w:rsidRPr="0048209D">
              <w:rPr>
                <w:sz w:val="26"/>
                <w:szCs w:val="26"/>
                <w:lang w:val="nl-NL"/>
              </w:rPr>
              <w:t>56/2024/QH15</w:t>
            </w:r>
            <w:r>
              <w:rPr>
                <w:sz w:val="26"/>
                <w:szCs w:val="26"/>
                <w:lang w:val="nl-NL"/>
              </w:rPr>
              <w:t>;</w:t>
            </w:r>
          </w:p>
          <w:p w14:paraId="6A343AA6" w14:textId="77777777" w:rsidR="00EC73E5" w:rsidRPr="00CE7D1C" w:rsidRDefault="00EC73E5" w:rsidP="00EC73E5">
            <w:pPr>
              <w:widowControl w:val="0"/>
              <w:spacing w:after="120"/>
              <w:jc w:val="both"/>
              <w:rPr>
                <w:rStyle w:val="font12boldblack"/>
                <w:sz w:val="26"/>
                <w:szCs w:val="26"/>
                <w:lang w:val="nl-NL"/>
              </w:rPr>
            </w:pPr>
            <w:r w:rsidRPr="00CE7D1C">
              <w:rPr>
                <w:sz w:val="26"/>
                <w:szCs w:val="26"/>
                <w:lang w:val="nl-NL"/>
              </w:rPr>
              <w:t>c. Luật Kinh doanh Bảo hiểm số</w:t>
            </w:r>
            <w:r>
              <w:rPr>
                <w:rStyle w:val="font12boldblack"/>
                <w:sz w:val="26"/>
                <w:szCs w:val="26"/>
                <w:lang w:val="nl-NL"/>
              </w:rPr>
              <w:t xml:space="preserve"> 08/2022/QH15 ngày 16/06/2022 </w:t>
            </w:r>
            <w:r w:rsidRPr="0048209D">
              <w:rPr>
                <w:sz w:val="26"/>
                <w:szCs w:val="26"/>
                <w:lang w:val="nl-NL"/>
              </w:rPr>
              <w:t>đã được sửa đổi, bổ sung một số điều theo</w:t>
            </w:r>
            <w:r w:rsidRPr="0048209D">
              <w:rPr>
                <w:rStyle w:val="font12boldblack"/>
                <w:sz w:val="26"/>
                <w:szCs w:val="26"/>
                <w:lang w:val="nl-NL"/>
              </w:rPr>
              <w:t xml:space="preserve"> </w:t>
            </w:r>
            <w:r>
              <w:rPr>
                <w:rStyle w:val="font12boldblack"/>
                <w:sz w:val="26"/>
                <w:szCs w:val="26"/>
                <w:lang w:val="nl-NL"/>
              </w:rPr>
              <w:t>Luật số 139/2025/QH15;</w:t>
            </w:r>
          </w:p>
          <w:p w14:paraId="70BAD92E" w14:textId="77777777" w:rsidR="00EC73E5" w:rsidRPr="00CE7D1C" w:rsidRDefault="00EC73E5" w:rsidP="00EC73E5">
            <w:pPr>
              <w:widowControl w:val="0"/>
              <w:spacing w:after="120"/>
              <w:jc w:val="both"/>
              <w:rPr>
                <w:sz w:val="26"/>
                <w:szCs w:val="26"/>
                <w:lang w:val="nl-NL"/>
              </w:rPr>
            </w:pPr>
            <w:r w:rsidRPr="00CE7D1C">
              <w:rPr>
                <w:sz w:val="26"/>
                <w:szCs w:val="26"/>
                <w:lang w:val="nl-NL"/>
              </w:rPr>
              <w:t>e. Nghị định số 155/2020/NĐ-CP ngày 31/12/2020 của Chính Phủ</w:t>
            </w:r>
            <w:r>
              <w:rPr>
                <w:sz w:val="26"/>
                <w:szCs w:val="26"/>
                <w:lang w:val="nl-NL"/>
              </w:rPr>
              <w:t xml:space="preserve"> </w:t>
            </w:r>
            <w:r w:rsidRPr="0048209D">
              <w:rPr>
                <w:sz w:val="26"/>
                <w:szCs w:val="26"/>
                <w:lang w:val="nl-NL"/>
              </w:rPr>
              <w:t xml:space="preserve">đã được sửa đổi, bổ sung một số điều </w:t>
            </w:r>
            <w:r>
              <w:rPr>
                <w:sz w:val="26"/>
                <w:szCs w:val="26"/>
                <w:lang w:val="nl-NL"/>
              </w:rPr>
              <w:t>theo Nghị định số 245/2025/NĐ-CP.</w:t>
            </w:r>
          </w:p>
          <w:p w14:paraId="4B2AA29C" w14:textId="77777777" w:rsidR="00EC73E5" w:rsidRPr="00CE7D1C" w:rsidRDefault="00EC73E5" w:rsidP="00EC73E5">
            <w:pPr>
              <w:widowControl w:val="0"/>
              <w:spacing w:after="120"/>
              <w:jc w:val="both"/>
              <w:rPr>
                <w:bCs/>
                <w:sz w:val="26"/>
                <w:szCs w:val="26"/>
                <w:lang w:val="nl-NL"/>
              </w:rPr>
            </w:pPr>
            <w:r w:rsidRPr="00CE7D1C">
              <w:rPr>
                <w:sz w:val="26"/>
                <w:szCs w:val="26"/>
                <w:lang w:val="nl-NL"/>
              </w:rPr>
              <w:t xml:space="preserve">f. </w:t>
            </w:r>
            <w:r w:rsidRPr="00CE7D1C">
              <w:rPr>
                <w:sz w:val="26"/>
                <w:szCs w:val="26"/>
                <w:lang w:val="vi-VN"/>
              </w:rPr>
              <w:t xml:space="preserve">Thông tư số </w:t>
            </w:r>
            <w:r w:rsidRPr="00D0182E">
              <w:rPr>
                <w:sz w:val="26"/>
                <w:szCs w:val="26"/>
                <w:lang w:val="nl-NL"/>
              </w:rPr>
              <w:t>116</w:t>
            </w:r>
            <w:r w:rsidRPr="00CE7D1C">
              <w:rPr>
                <w:sz w:val="26"/>
                <w:szCs w:val="26"/>
                <w:lang w:val="vi-VN"/>
              </w:rPr>
              <w:t>/20</w:t>
            </w:r>
            <w:r w:rsidRPr="00D0182E">
              <w:rPr>
                <w:sz w:val="26"/>
                <w:szCs w:val="26"/>
                <w:lang w:val="nl-NL"/>
              </w:rPr>
              <w:t>20</w:t>
            </w:r>
            <w:r w:rsidRPr="00CE7D1C">
              <w:rPr>
                <w:sz w:val="26"/>
                <w:szCs w:val="26"/>
                <w:lang w:val="vi-VN"/>
              </w:rPr>
              <w:t xml:space="preserve">/TT-BTC ngày </w:t>
            </w:r>
            <w:r w:rsidRPr="00D0182E">
              <w:rPr>
                <w:sz w:val="26"/>
                <w:szCs w:val="26"/>
                <w:lang w:val="nl-NL"/>
              </w:rPr>
              <w:t>31</w:t>
            </w:r>
            <w:r w:rsidRPr="00CE7D1C">
              <w:rPr>
                <w:sz w:val="26"/>
                <w:szCs w:val="26"/>
                <w:lang w:val="vi-VN"/>
              </w:rPr>
              <w:t xml:space="preserve"> tháng </w:t>
            </w:r>
            <w:r w:rsidRPr="00D0182E">
              <w:rPr>
                <w:sz w:val="26"/>
                <w:szCs w:val="26"/>
                <w:lang w:val="nl-NL"/>
              </w:rPr>
              <w:t>12</w:t>
            </w:r>
            <w:r w:rsidRPr="00CE7D1C">
              <w:rPr>
                <w:sz w:val="26"/>
                <w:szCs w:val="26"/>
                <w:lang w:val="vi-VN"/>
              </w:rPr>
              <w:t xml:space="preserve"> năm 20</w:t>
            </w:r>
            <w:r w:rsidRPr="00D0182E">
              <w:rPr>
                <w:sz w:val="26"/>
                <w:szCs w:val="26"/>
                <w:lang w:val="nl-NL"/>
              </w:rPr>
              <w:t>20</w:t>
            </w:r>
            <w:r w:rsidRPr="00CE7D1C">
              <w:rPr>
                <w:sz w:val="26"/>
                <w:szCs w:val="26"/>
                <w:lang w:val="vi-VN"/>
              </w:rPr>
              <w:t xml:space="preserve"> của Bộ Tài chính hướng dẫn một số điều </w:t>
            </w:r>
            <w:r w:rsidRPr="00D0182E">
              <w:rPr>
                <w:sz w:val="26"/>
                <w:szCs w:val="26"/>
                <w:lang w:val="nl-NL"/>
              </w:rPr>
              <w:t xml:space="preserve">về quản trị công ty áp dụng đối với công ty đại chúng tại </w:t>
            </w:r>
            <w:r w:rsidRPr="00CE7D1C">
              <w:rPr>
                <w:sz w:val="26"/>
                <w:szCs w:val="26"/>
                <w:lang w:val="vi-VN"/>
              </w:rPr>
              <w:t xml:space="preserve">Nghị định số </w:t>
            </w:r>
            <w:r w:rsidRPr="00D0182E">
              <w:rPr>
                <w:sz w:val="26"/>
                <w:szCs w:val="26"/>
                <w:lang w:val="nl-NL"/>
              </w:rPr>
              <w:t xml:space="preserve">155/2020/NĐ-CP </w:t>
            </w:r>
            <w:r w:rsidRPr="00CE7D1C">
              <w:rPr>
                <w:sz w:val="26"/>
                <w:szCs w:val="26"/>
                <w:lang w:val="vi-VN"/>
              </w:rPr>
              <w:t xml:space="preserve">ngày </w:t>
            </w:r>
            <w:r w:rsidRPr="00D0182E">
              <w:rPr>
                <w:sz w:val="26"/>
                <w:szCs w:val="26"/>
                <w:lang w:val="nl-NL"/>
              </w:rPr>
              <w:t>31</w:t>
            </w:r>
            <w:r w:rsidRPr="00CE7D1C">
              <w:rPr>
                <w:sz w:val="26"/>
                <w:szCs w:val="26"/>
                <w:lang w:val="vi-VN"/>
              </w:rPr>
              <w:t xml:space="preserve"> tháng </w:t>
            </w:r>
            <w:r w:rsidRPr="00D0182E">
              <w:rPr>
                <w:sz w:val="26"/>
                <w:szCs w:val="26"/>
                <w:lang w:val="nl-NL"/>
              </w:rPr>
              <w:t>12</w:t>
            </w:r>
            <w:r w:rsidRPr="00CE7D1C">
              <w:rPr>
                <w:sz w:val="26"/>
                <w:szCs w:val="26"/>
                <w:lang w:val="vi-VN"/>
              </w:rPr>
              <w:t xml:space="preserve"> năm 20</w:t>
            </w:r>
            <w:r w:rsidRPr="00D0182E">
              <w:rPr>
                <w:sz w:val="26"/>
                <w:szCs w:val="26"/>
                <w:lang w:val="nl-NL"/>
              </w:rPr>
              <w:t>20</w:t>
            </w:r>
            <w:r w:rsidRPr="00CE7D1C">
              <w:rPr>
                <w:sz w:val="26"/>
                <w:szCs w:val="26"/>
                <w:lang w:val="vi-VN"/>
              </w:rPr>
              <w:t xml:space="preserve"> của Chính phủ </w:t>
            </w:r>
            <w:r w:rsidRPr="00D0182E">
              <w:rPr>
                <w:sz w:val="26"/>
                <w:szCs w:val="26"/>
                <w:lang w:val="nl-NL"/>
              </w:rPr>
              <w:t>quy định chi tiết thi hành một số điều của Luật Chứng khoán</w:t>
            </w:r>
            <w:r w:rsidRPr="00CE7D1C">
              <w:rPr>
                <w:bCs/>
                <w:sz w:val="26"/>
                <w:szCs w:val="26"/>
                <w:lang w:val="nl-NL"/>
              </w:rPr>
              <w:t xml:space="preserve">; </w:t>
            </w:r>
          </w:p>
          <w:p w14:paraId="3DAD1FE7" w14:textId="77777777" w:rsidR="00EC73E5" w:rsidRDefault="00EC73E5" w:rsidP="00EC73E5">
            <w:pPr>
              <w:widowControl w:val="0"/>
              <w:spacing w:after="120"/>
              <w:jc w:val="both"/>
              <w:rPr>
                <w:sz w:val="26"/>
                <w:szCs w:val="26"/>
                <w:lang w:val="fr-FR"/>
              </w:rPr>
            </w:pPr>
            <w:r>
              <w:rPr>
                <w:bCs/>
                <w:sz w:val="26"/>
                <w:szCs w:val="26"/>
                <w:lang w:val="nl-NL"/>
              </w:rPr>
              <w:t>g</w:t>
            </w:r>
            <w:r w:rsidRPr="00CE7D1C">
              <w:rPr>
                <w:bCs/>
                <w:sz w:val="26"/>
                <w:szCs w:val="26"/>
                <w:lang w:val="nl-NL"/>
              </w:rPr>
              <w:t>. Điều lệ Tổng c</w:t>
            </w:r>
            <w:r w:rsidRPr="00CE7D1C">
              <w:rPr>
                <w:sz w:val="26"/>
                <w:szCs w:val="26"/>
                <w:lang w:val="nl-NL"/>
              </w:rPr>
              <w:t>ông ty</w:t>
            </w:r>
            <w:r w:rsidRPr="00CE7D1C">
              <w:rPr>
                <w:bCs/>
                <w:sz w:val="26"/>
                <w:szCs w:val="26"/>
                <w:lang w:val="nl-NL"/>
              </w:rPr>
              <w:t xml:space="preserve"> </w:t>
            </w:r>
            <w:r w:rsidRPr="00CE7D1C">
              <w:rPr>
                <w:sz w:val="26"/>
                <w:szCs w:val="26"/>
                <w:lang w:val="fr-FR"/>
              </w:rPr>
              <w:t xml:space="preserve">được Đại hội đồng cổ đông thông qua ngày </w:t>
            </w:r>
            <w:r>
              <w:rPr>
                <w:sz w:val="26"/>
                <w:szCs w:val="26"/>
                <w:lang w:val="fr-FR"/>
              </w:rPr>
              <w:t>15</w:t>
            </w:r>
            <w:r w:rsidRPr="00CE7D1C">
              <w:rPr>
                <w:sz w:val="26"/>
                <w:szCs w:val="26"/>
                <w:lang w:val="fr-FR"/>
              </w:rPr>
              <w:t xml:space="preserve"> tháng 04 năm 202</w:t>
            </w:r>
            <w:r>
              <w:rPr>
                <w:sz w:val="26"/>
                <w:szCs w:val="26"/>
                <w:lang w:val="fr-FR"/>
              </w:rPr>
              <w:t>6</w:t>
            </w:r>
            <w:r w:rsidRPr="00CE7D1C">
              <w:rPr>
                <w:sz w:val="26"/>
                <w:szCs w:val="26"/>
                <w:lang w:val="fr-FR"/>
              </w:rPr>
              <w:t>.</w:t>
            </w:r>
          </w:p>
          <w:p w14:paraId="35ADA39B" w14:textId="77777777" w:rsidR="00384CE6" w:rsidRPr="00EC73E5" w:rsidRDefault="00EC73E5" w:rsidP="00EC73E5">
            <w:pPr>
              <w:widowControl w:val="0"/>
              <w:spacing w:after="120"/>
              <w:jc w:val="both"/>
              <w:rPr>
                <w:sz w:val="26"/>
                <w:szCs w:val="26"/>
                <w:lang w:val="fr-FR"/>
              </w:rPr>
            </w:pPr>
            <w:r>
              <w:rPr>
                <w:sz w:val="26"/>
                <w:szCs w:val="26"/>
                <w:lang w:val="fr-FR"/>
              </w:rPr>
              <w:t xml:space="preserve">h. Các văn bản quy phạm pháp luật khác có liên quan. </w:t>
            </w:r>
          </w:p>
        </w:tc>
        <w:tc>
          <w:tcPr>
            <w:tcW w:w="2649" w:type="dxa"/>
            <w:vAlign w:val="center"/>
          </w:tcPr>
          <w:p w14:paraId="616A3E1C" w14:textId="77777777" w:rsidR="00384CE6" w:rsidRPr="00D0182E" w:rsidRDefault="00EC73E5" w:rsidP="0062446A">
            <w:pPr>
              <w:rPr>
                <w:bCs/>
                <w:sz w:val="26"/>
                <w:szCs w:val="26"/>
                <w:lang w:val="fr-FR"/>
              </w:rPr>
            </w:pPr>
            <w:r w:rsidRPr="00D0182E">
              <w:rPr>
                <w:bCs/>
                <w:sz w:val="26"/>
                <w:szCs w:val="26"/>
                <w:lang w:val="fr-FR"/>
              </w:rPr>
              <w:lastRenderedPageBreak/>
              <w:t>Bổ sung thêm tiêu đề “căn cứ pháp lý” và cập nhật, bổ sung lại hệ thống các văn bản quy phạm pháp luật hiện hành</w:t>
            </w:r>
          </w:p>
        </w:tc>
      </w:tr>
      <w:tr w:rsidR="00584E2A" w:rsidRPr="00701114" w14:paraId="09609B83" w14:textId="77777777" w:rsidTr="0062446A">
        <w:trPr>
          <w:trHeight w:val="1067"/>
        </w:trPr>
        <w:tc>
          <w:tcPr>
            <w:tcW w:w="851" w:type="dxa"/>
            <w:vAlign w:val="center"/>
          </w:tcPr>
          <w:p w14:paraId="2742A2BC" w14:textId="77777777" w:rsidR="00384CE6" w:rsidRPr="00D0182E" w:rsidRDefault="00384CE6" w:rsidP="0062446A">
            <w:pPr>
              <w:numPr>
                <w:ilvl w:val="0"/>
                <w:numId w:val="26"/>
              </w:numPr>
              <w:rPr>
                <w:sz w:val="26"/>
                <w:szCs w:val="26"/>
                <w:lang w:val="fr-FR"/>
              </w:rPr>
            </w:pPr>
          </w:p>
        </w:tc>
        <w:tc>
          <w:tcPr>
            <w:tcW w:w="1687" w:type="dxa"/>
            <w:vAlign w:val="center"/>
          </w:tcPr>
          <w:p w14:paraId="4269E010" w14:textId="77777777" w:rsidR="00384CE6" w:rsidRPr="00701114" w:rsidRDefault="00EC73E5" w:rsidP="0062446A">
            <w:pPr>
              <w:jc w:val="center"/>
              <w:rPr>
                <w:sz w:val="26"/>
                <w:szCs w:val="26"/>
              </w:rPr>
            </w:pPr>
            <w:r>
              <w:rPr>
                <w:sz w:val="26"/>
                <w:szCs w:val="26"/>
              </w:rPr>
              <w:t>Khoản 3 Điều 1</w:t>
            </w:r>
          </w:p>
        </w:tc>
        <w:tc>
          <w:tcPr>
            <w:tcW w:w="4302" w:type="dxa"/>
            <w:vAlign w:val="center"/>
          </w:tcPr>
          <w:p w14:paraId="72C59083" w14:textId="77777777" w:rsidR="00EC73E5" w:rsidRPr="00CE7D1C" w:rsidRDefault="00EC73E5" w:rsidP="00EC73E5">
            <w:pPr>
              <w:widowControl w:val="0"/>
              <w:spacing w:after="120"/>
              <w:jc w:val="both"/>
              <w:rPr>
                <w:sz w:val="26"/>
                <w:szCs w:val="26"/>
                <w:lang w:val="nl-NL"/>
              </w:rPr>
            </w:pPr>
            <w:r w:rsidRPr="00CE7D1C">
              <w:rPr>
                <w:sz w:val="26"/>
                <w:szCs w:val="26"/>
                <w:lang w:val="nl-NL"/>
              </w:rPr>
              <w:t>3. Đối tượng áp dụng: Quy chế này được áp dụng cho các thành viên Hội đồng quản trị</w:t>
            </w:r>
            <w:r>
              <w:rPr>
                <w:sz w:val="26"/>
                <w:szCs w:val="26"/>
                <w:lang w:val="nl-NL"/>
              </w:rPr>
              <w:t>,</w:t>
            </w:r>
            <w:r w:rsidRPr="00CE7D1C">
              <w:rPr>
                <w:sz w:val="26"/>
                <w:szCs w:val="26"/>
                <w:lang w:val="nl-NL"/>
              </w:rPr>
              <w:t xml:space="preserve"> Tổng giám đốc, Người quản lý</w:t>
            </w:r>
            <w:r>
              <w:rPr>
                <w:sz w:val="26"/>
                <w:szCs w:val="26"/>
                <w:lang w:val="nl-NL"/>
              </w:rPr>
              <w:t xml:space="preserve"> </w:t>
            </w:r>
            <w:r w:rsidRPr="00CE7D1C">
              <w:rPr>
                <w:sz w:val="26"/>
                <w:szCs w:val="26"/>
                <w:lang w:val="nl-NL"/>
              </w:rPr>
              <w:t>và những người liên quan</w:t>
            </w:r>
            <w:r>
              <w:rPr>
                <w:sz w:val="26"/>
                <w:szCs w:val="26"/>
                <w:lang w:val="nl-NL"/>
              </w:rPr>
              <w:t>.</w:t>
            </w:r>
          </w:p>
          <w:p w14:paraId="2045F577" w14:textId="77777777" w:rsidR="00384CE6" w:rsidRPr="00701114" w:rsidRDefault="00384CE6" w:rsidP="0062446A">
            <w:pPr>
              <w:jc w:val="center"/>
              <w:rPr>
                <w:bCs/>
                <w:sz w:val="26"/>
                <w:szCs w:val="26"/>
              </w:rPr>
            </w:pPr>
          </w:p>
        </w:tc>
        <w:tc>
          <w:tcPr>
            <w:tcW w:w="4828" w:type="dxa"/>
            <w:vAlign w:val="center"/>
          </w:tcPr>
          <w:p w14:paraId="36E6A415" w14:textId="77777777" w:rsidR="00EC73E5" w:rsidRPr="00CE7D1C" w:rsidRDefault="00EC73E5" w:rsidP="00EC73E5">
            <w:pPr>
              <w:widowControl w:val="0"/>
              <w:spacing w:after="120"/>
              <w:jc w:val="both"/>
              <w:rPr>
                <w:sz w:val="26"/>
                <w:szCs w:val="26"/>
                <w:lang w:val="nl-NL"/>
              </w:rPr>
            </w:pPr>
            <w:r w:rsidRPr="00CE7D1C">
              <w:rPr>
                <w:sz w:val="26"/>
                <w:szCs w:val="26"/>
                <w:lang w:val="nl-NL"/>
              </w:rPr>
              <w:t>3. Đối tượng áp dụng: Quy chế này được áp dụng cho các thành viên Hội đồng quản trị,</w:t>
            </w:r>
            <w:r>
              <w:rPr>
                <w:sz w:val="26"/>
                <w:szCs w:val="26"/>
                <w:lang w:val="nl-NL"/>
              </w:rPr>
              <w:t xml:space="preserve"> Ban kiểm soát,</w:t>
            </w:r>
            <w:r w:rsidRPr="00CE7D1C">
              <w:rPr>
                <w:sz w:val="26"/>
                <w:szCs w:val="26"/>
                <w:lang w:val="nl-NL"/>
              </w:rPr>
              <w:t xml:space="preserve"> Tổng giám đốc, Người quản lý</w:t>
            </w:r>
            <w:r>
              <w:rPr>
                <w:sz w:val="26"/>
                <w:szCs w:val="26"/>
                <w:lang w:val="nl-NL"/>
              </w:rPr>
              <w:t xml:space="preserve"> </w:t>
            </w:r>
            <w:r w:rsidRPr="00CE7D1C">
              <w:rPr>
                <w:sz w:val="26"/>
                <w:szCs w:val="26"/>
                <w:lang w:val="nl-NL"/>
              </w:rPr>
              <w:t>và những người liên quan</w:t>
            </w:r>
            <w:r>
              <w:rPr>
                <w:sz w:val="26"/>
                <w:szCs w:val="26"/>
                <w:lang w:val="nl-NL"/>
              </w:rPr>
              <w:t>.</w:t>
            </w:r>
          </w:p>
          <w:p w14:paraId="493188E7" w14:textId="77777777" w:rsidR="00384CE6" w:rsidRPr="00701114" w:rsidRDefault="00384CE6" w:rsidP="0062446A">
            <w:pPr>
              <w:jc w:val="both"/>
              <w:rPr>
                <w:sz w:val="26"/>
                <w:szCs w:val="26"/>
              </w:rPr>
            </w:pPr>
          </w:p>
        </w:tc>
        <w:tc>
          <w:tcPr>
            <w:tcW w:w="2649" w:type="dxa"/>
            <w:vAlign w:val="center"/>
          </w:tcPr>
          <w:p w14:paraId="0C5DE681" w14:textId="77777777" w:rsidR="00EC73E5" w:rsidRPr="00701114" w:rsidRDefault="00EC73E5" w:rsidP="0062446A">
            <w:pPr>
              <w:jc w:val="both"/>
              <w:rPr>
                <w:sz w:val="26"/>
                <w:szCs w:val="26"/>
              </w:rPr>
            </w:pPr>
            <w:r>
              <w:rPr>
                <w:sz w:val="26"/>
                <w:szCs w:val="26"/>
              </w:rPr>
              <w:t>Bổ sung thêm đối tượng Ban kiểm soát để phù hợp với mô hình</w:t>
            </w:r>
            <w:r w:rsidRPr="00701114">
              <w:rPr>
                <w:sz w:val="26"/>
                <w:szCs w:val="26"/>
              </w:rPr>
              <w:t xml:space="preserve"> tổ chức có Ban kiểm soát</w:t>
            </w:r>
          </w:p>
        </w:tc>
      </w:tr>
      <w:tr w:rsidR="00584E2A" w:rsidRPr="00701114" w14:paraId="2C333167" w14:textId="77777777" w:rsidTr="0062446A">
        <w:trPr>
          <w:trHeight w:val="1832"/>
        </w:trPr>
        <w:tc>
          <w:tcPr>
            <w:tcW w:w="851" w:type="dxa"/>
            <w:vAlign w:val="center"/>
          </w:tcPr>
          <w:p w14:paraId="5A3AB05A" w14:textId="77777777" w:rsidR="00384CE6" w:rsidRPr="00701114" w:rsidRDefault="00384CE6" w:rsidP="0062446A">
            <w:pPr>
              <w:numPr>
                <w:ilvl w:val="0"/>
                <w:numId w:val="26"/>
              </w:numPr>
              <w:jc w:val="center"/>
              <w:rPr>
                <w:sz w:val="26"/>
                <w:szCs w:val="26"/>
              </w:rPr>
            </w:pPr>
          </w:p>
        </w:tc>
        <w:tc>
          <w:tcPr>
            <w:tcW w:w="1687" w:type="dxa"/>
            <w:vAlign w:val="center"/>
          </w:tcPr>
          <w:p w14:paraId="188C5CA4" w14:textId="77777777" w:rsidR="00384CE6" w:rsidRPr="00701114" w:rsidRDefault="00EC73E5" w:rsidP="0062446A">
            <w:pPr>
              <w:jc w:val="center"/>
              <w:rPr>
                <w:sz w:val="26"/>
                <w:szCs w:val="26"/>
              </w:rPr>
            </w:pPr>
            <w:r>
              <w:rPr>
                <w:sz w:val="26"/>
                <w:szCs w:val="26"/>
              </w:rPr>
              <w:t>Khoản 1 Điều 2</w:t>
            </w:r>
          </w:p>
        </w:tc>
        <w:tc>
          <w:tcPr>
            <w:tcW w:w="4302" w:type="dxa"/>
            <w:vAlign w:val="center"/>
          </w:tcPr>
          <w:p w14:paraId="5BCAC14A" w14:textId="77777777" w:rsidR="00384CE6" w:rsidRPr="00701114" w:rsidRDefault="00EC73E5" w:rsidP="00EC73E5">
            <w:pPr>
              <w:jc w:val="center"/>
              <w:rPr>
                <w:bCs/>
                <w:sz w:val="26"/>
                <w:szCs w:val="26"/>
              </w:rPr>
            </w:pPr>
            <w:r>
              <w:rPr>
                <w:bCs/>
                <w:sz w:val="26"/>
                <w:szCs w:val="26"/>
              </w:rPr>
              <w:t>Chưa quy định</w:t>
            </w:r>
          </w:p>
        </w:tc>
        <w:tc>
          <w:tcPr>
            <w:tcW w:w="4828" w:type="dxa"/>
            <w:vAlign w:val="center"/>
          </w:tcPr>
          <w:p w14:paraId="0C661930" w14:textId="77777777" w:rsidR="00384CE6" w:rsidRPr="00701114" w:rsidRDefault="00EC73E5" w:rsidP="0062446A">
            <w:pPr>
              <w:tabs>
                <w:tab w:val="left" w:pos="1080"/>
              </w:tabs>
              <w:jc w:val="both"/>
              <w:rPr>
                <w:sz w:val="26"/>
                <w:szCs w:val="26"/>
              </w:rPr>
            </w:pPr>
            <w:r>
              <w:rPr>
                <w:bCs/>
                <w:noProof/>
                <w:sz w:val="26"/>
                <w:szCs w:val="26"/>
              </w:rPr>
              <w:t>n</w:t>
            </w:r>
            <w:r w:rsidRPr="000A4940">
              <w:rPr>
                <w:bCs/>
                <w:noProof/>
                <w:sz w:val="26"/>
                <w:szCs w:val="26"/>
              </w:rPr>
              <w:t xml:space="preserve">. Địa điểm tổ chức Đại hội trực tuyến bao gồm địa điểm chính và các địa điểm khác. Trong đó, địa điểm chính là nơi chủ tọa tham dự và chủ trì cuộc họp, các địa điểm khác là nơi cổ đông đăng nhập vào Hệ thống bằng Tài khoản truy cập đã được </w:t>
            </w:r>
            <w:r>
              <w:rPr>
                <w:bCs/>
                <w:noProof/>
                <w:sz w:val="26"/>
                <w:szCs w:val="26"/>
              </w:rPr>
              <w:t>PJICO</w:t>
            </w:r>
            <w:r w:rsidRPr="000A4940">
              <w:rPr>
                <w:bCs/>
                <w:noProof/>
                <w:sz w:val="26"/>
                <w:szCs w:val="26"/>
              </w:rPr>
              <w:t xml:space="preserve"> cung cấp để tham dự Đại hội trực tuyến.</w:t>
            </w:r>
          </w:p>
        </w:tc>
        <w:tc>
          <w:tcPr>
            <w:tcW w:w="2649" w:type="dxa"/>
            <w:vAlign w:val="center"/>
          </w:tcPr>
          <w:p w14:paraId="43E11018" w14:textId="77777777" w:rsidR="00384CE6" w:rsidRPr="00701114" w:rsidRDefault="00EC73E5" w:rsidP="0062446A">
            <w:pPr>
              <w:tabs>
                <w:tab w:val="left" w:pos="1080"/>
              </w:tabs>
              <w:jc w:val="both"/>
              <w:rPr>
                <w:sz w:val="26"/>
                <w:szCs w:val="26"/>
                <w:lang w:val="pt-BR"/>
              </w:rPr>
            </w:pPr>
            <w:r>
              <w:rPr>
                <w:sz w:val="26"/>
                <w:szCs w:val="26"/>
                <w:lang w:val="pt-BR"/>
              </w:rPr>
              <w:t>Bổ sung nội dung để phù hợp với hình thức tham dự trực tuyến</w:t>
            </w:r>
          </w:p>
        </w:tc>
      </w:tr>
      <w:tr w:rsidR="00584E2A" w:rsidRPr="00701114" w14:paraId="240DB8A8" w14:textId="77777777" w:rsidTr="0062446A">
        <w:trPr>
          <w:trHeight w:val="1549"/>
        </w:trPr>
        <w:tc>
          <w:tcPr>
            <w:tcW w:w="851" w:type="dxa"/>
            <w:vAlign w:val="center"/>
          </w:tcPr>
          <w:p w14:paraId="42FAF73D" w14:textId="77777777" w:rsidR="00384CE6" w:rsidRPr="00701114" w:rsidRDefault="00384CE6" w:rsidP="0062446A">
            <w:pPr>
              <w:numPr>
                <w:ilvl w:val="0"/>
                <w:numId w:val="26"/>
              </w:numPr>
              <w:jc w:val="center"/>
              <w:rPr>
                <w:sz w:val="26"/>
                <w:szCs w:val="26"/>
              </w:rPr>
            </w:pPr>
          </w:p>
        </w:tc>
        <w:tc>
          <w:tcPr>
            <w:tcW w:w="1687" w:type="dxa"/>
            <w:vAlign w:val="center"/>
          </w:tcPr>
          <w:p w14:paraId="30EBA931" w14:textId="77777777" w:rsidR="00384CE6" w:rsidRPr="00701114" w:rsidRDefault="00EC73E5" w:rsidP="0062446A">
            <w:pPr>
              <w:jc w:val="center"/>
              <w:rPr>
                <w:sz w:val="26"/>
                <w:szCs w:val="26"/>
              </w:rPr>
            </w:pPr>
            <w:r>
              <w:rPr>
                <w:sz w:val="26"/>
                <w:szCs w:val="26"/>
              </w:rPr>
              <w:t>Khoản 1 Điều 4</w:t>
            </w:r>
          </w:p>
        </w:tc>
        <w:tc>
          <w:tcPr>
            <w:tcW w:w="4302" w:type="dxa"/>
            <w:vAlign w:val="center"/>
          </w:tcPr>
          <w:p w14:paraId="5BC681F5" w14:textId="77777777" w:rsidR="00EC73E5" w:rsidRPr="00CE7D1C" w:rsidRDefault="00EC73E5" w:rsidP="00EC73E5">
            <w:pPr>
              <w:spacing w:after="120"/>
              <w:jc w:val="both"/>
              <w:rPr>
                <w:sz w:val="26"/>
                <w:szCs w:val="26"/>
                <w:lang w:val="nl-NL"/>
              </w:rPr>
            </w:pPr>
            <w:r w:rsidRPr="00CE7D1C">
              <w:rPr>
                <w:sz w:val="26"/>
                <w:szCs w:val="26"/>
                <w:lang w:val="nl-NL"/>
              </w:rPr>
              <w:t xml:space="preserve">1. Tuân thủ Điều lệ và các quy chế nội bộ có liên quan đến cổ đông của </w:t>
            </w:r>
            <w:r>
              <w:rPr>
                <w:sz w:val="26"/>
                <w:szCs w:val="26"/>
                <w:lang w:val="nl-NL"/>
              </w:rPr>
              <w:t>PJICO</w:t>
            </w:r>
            <w:r w:rsidRPr="00CE7D1C">
              <w:rPr>
                <w:sz w:val="26"/>
                <w:szCs w:val="26"/>
                <w:lang w:val="nl-NL"/>
              </w:rPr>
              <w:t>; chấp hành quyết định của Đại hội đồng cổ đông, Hội đồng quản trị.</w:t>
            </w:r>
          </w:p>
          <w:p w14:paraId="697486F1" w14:textId="77777777" w:rsidR="00384CE6" w:rsidRPr="00701114" w:rsidRDefault="00384CE6" w:rsidP="0062446A">
            <w:pPr>
              <w:jc w:val="both"/>
              <w:rPr>
                <w:bCs/>
                <w:sz w:val="26"/>
                <w:szCs w:val="26"/>
              </w:rPr>
            </w:pPr>
          </w:p>
        </w:tc>
        <w:tc>
          <w:tcPr>
            <w:tcW w:w="4828" w:type="dxa"/>
            <w:vAlign w:val="center"/>
          </w:tcPr>
          <w:p w14:paraId="3669BDD1" w14:textId="77777777" w:rsidR="00EC73E5" w:rsidRPr="00CE7D1C" w:rsidRDefault="00EC73E5" w:rsidP="00EC73E5">
            <w:pPr>
              <w:spacing w:after="120"/>
              <w:jc w:val="both"/>
              <w:rPr>
                <w:sz w:val="26"/>
                <w:szCs w:val="26"/>
                <w:lang w:val="nl-NL"/>
              </w:rPr>
            </w:pPr>
            <w:r w:rsidRPr="00CE7D1C">
              <w:rPr>
                <w:sz w:val="26"/>
                <w:szCs w:val="26"/>
                <w:lang w:val="nl-NL"/>
              </w:rPr>
              <w:t xml:space="preserve">1. Tuân thủ Điều lệ và các quy chế nội bộ có liên quan đến cổ đông của </w:t>
            </w:r>
            <w:r>
              <w:rPr>
                <w:sz w:val="26"/>
                <w:szCs w:val="26"/>
                <w:lang w:val="nl-NL"/>
              </w:rPr>
              <w:t>PJICO</w:t>
            </w:r>
            <w:r w:rsidRPr="00CE7D1C">
              <w:rPr>
                <w:sz w:val="26"/>
                <w:szCs w:val="26"/>
                <w:lang w:val="nl-NL"/>
              </w:rPr>
              <w:t xml:space="preserve">; chấp hành </w:t>
            </w:r>
            <w:r w:rsidRPr="00EC73E5">
              <w:rPr>
                <w:sz w:val="26"/>
                <w:szCs w:val="26"/>
                <w:u w:val="single"/>
                <w:lang w:val="nl-NL"/>
              </w:rPr>
              <w:t>Nghị quyết,</w:t>
            </w:r>
            <w:r>
              <w:rPr>
                <w:sz w:val="26"/>
                <w:szCs w:val="26"/>
                <w:lang w:val="nl-NL"/>
              </w:rPr>
              <w:t xml:space="preserve"> </w:t>
            </w:r>
            <w:r w:rsidRPr="00CE7D1C">
              <w:rPr>
                <w:sz w:val="26"/>
                <w:szCs w:val="26"/>
                <w:lang w:val="nl-NL"/>
              </w:rPr>
              <w:t>quyết định của Đại hội đồng cổ đông, Hội đồng quản trị.</w:t>
            </w:r>
          </w:p>
          <w:p w14:paraId="11A3D4D8" w14:textId="77777777" w:rsidR="00384CE6" w:rsidRPr="00701114" w:rsidRDefault="00384CE6" w:rsidP="0062446A">
            <w:pPr>
              <w:jc w:val="both"/>
              <w:rPr>
                <w:sz w:val="26"/>
                <w:szCs w:val="26"/>
              </w:rPr>
            </w:pPr>
          </w:p>
        </w:tc>
        <w:tc>
          <w:tcPr>
            <w:tcW w:w="2649" w:type="dxa"/>
            <w:vAlign w:val="center"/>
          </w:tcPr>
          <w:p w14:paraId="552914BF" w14:textId="77777777" w:rsidR="00384CE6" w:rsidRPr="00701114" w:rsidRDefault="00384CE6" w:rsidP="0062446A">
            <w:pPr>
              <w:tabs>
                <w:tab w:val="left" w:pos="1080"/>
              </w:tabs>
              <w:jc w:val="both"/>
              <w:rPr>
                <w:sz w:val="26"/>
                <w:szCs w:val="26"/>
                <w:lang w:val="pt-BR"/>
              </w:rPr>
            </w:pPr>
          </w:p>
        </w:tc>
      </w:tr>
      <w:tr w:rsidR="00584E2A" w:rsidRPr="00701114" w14:paraId="335EF43C" w14:textId="77777777" w:rsidTr="0062446A">
        <w:trPr>
          <w:trHeight w:val="1684"/>
        </w:trPr>
        <w:tc>
          <w:tcPr>
            <w:tcW w:w="851" w:type="dxa"/>
            <w:vAlign w:val="center"/>
          </w:tcPr>
          <w:p w14:paraId="3D71D3A2" w14:textId="77777777" w:rsidR="00384CE6" w:rsidRPr="00701114" w:rsidRDefault="00384CE6" w:rsidP="0062446A">
            <w:pPr>
              <w:numPr>
                <w:ilvl w:val="0"/>
                <w:numId w:val="26"/>
              </w:numPr>
              <w:jc w:val="center"/>
              <w:rPr>
                <w:sz w:val="26"/>
                <w:szCs w:val="26"/>
              </w:rPr>
            </w:pPr>
          </w:p>
        </w:tc>
        <w:tc>
          <w:tcPr>
            <w:tcW w:w="1687" w:type="dxa"/>
            <w:vAlign w:val="center"/>
          </w:tcPr>
          <w:p w14:paraId="52D0B615" w14:textId="77777777" w:rsidR="00384CE6" w:rsidRPr="00701114" w:rsidRDefault="00EC73E5" w:rsidP="0062446A">
            <w:pPr>
              <w:jc w:val="center"/>
              <w:rPr>
                <w:sz w:val="26"/>
                <w:szCs w:val="26"/>
              </w:rPr>
            </w:pPr>
            <w:r>
              <w:rPr>
                <w:sz w:val="26"/>
                <w:szCs w:val="26"/>
              </w:rPr>
              <w:t>Điểm b khoản 3 Điều 6</w:t>
            </w:r>
          </w:p>
        </w:tc>
        <w:tc>
          <w:tcPr>
            <w:tcW w:w="4302" w:type="dxa"/>
            <w:vAlign w:val="center"/>
          </w:tcPr>
          <w:p w14:paraId="2BE6215E" w14:textId="77777777" w:rsidR="00EC73E5" w:rsidRPr="00CE7D1C" w:rsidRDefault="00EC73E5" w:rsidP="00EC73E5">
            <w:pPr>
              <w:widowControl w:val="0"/>
              <w:shd w:val="clear" w:color="auto" w:fill="FFFFFF"/>
              <w:spacing w:after="120"/>
              <w:ind w:right="30"/>
              <w:jc w:val="both"/>
              <w:rPr>
                <w:sz w:val="26"/>
                <w:szCs w:val="26"/>
              </w:rPr>
            </w:pPr>
            <w:r w:rsidRPr="00CE7D1C">
              <w:rPr>
                <w:sz w:val="26"/>
                <w:szCs w:val="26"/>
              </w:rPr>
              <w:t>b. Danh sách và thông tin chi tiết của các ứng viên trong trường hợp bầu thành viên Hội đồng quản trị</w:t>
            </w:r>
            <w:r>
              <w:rPr>
                <w:sz w:val="26"/>
                <w:szCs w:val="26"/>
              </w:rPr>
              <w:t>;</w:t>
            </w:r>
          </w:p>
          <w:p w14:paraId="369ACF8B" w14:textId="77777777" w:rsidR="00384CE6" w:rsidRPr="00701114" w:rsidRDefault="00384CE6" w:rsidP="0062446A">
            <w:pPr>
              <w:jc w:val="both"/>
              <w:rPr>
                <w:bCs/>
                <w:sz w:val="26"/>
                <w:szCs w:val="26"/>
              </w:rPr>
            </w:pPr>
          </w:p>
        </w:tc>
        <w:tc>
          <w:tcPr>
            <w:tcW w:w="4828" w:type="dxa"/>
            <w:vAlign w:val="center"/>
          </w:tcPr>
          <w:p w14:paraId="6C18CA68" w14:textId="77777777" w:rsidR="00EC73E5" w:rsidRPr="00CE7D1C" w:rsidRDefault="00EC73E5" w:rsidP="00EC73E5">
            <w:pPr>
              <w:widowControl w:val="0"/>
              <w:shd w:val="clear" w:color="auto" w:fill="FFFFFF"/>
              <w:spacing w:after="120"/>
              <w:ind w:right="30"/>
              <w:jc w:val="both"/>
              <w:rPr>
                <w:sz w:val="26"/>
                <w:szCs w:val="26"/>
              </w:rPr>
            </w:pPr>
            <w:r w:rsidRPr="00CE7D1C">
              <w:rPr>
                <w:sz w:val="26"/>
                <w:szCs w:val="26"/>
              </w:rPr>
              <w:t>b. Danh sách và thông tin chi tiết của các ứng viên trong trường hợp bầu thành viên Hội đồng quản trị</w:t>
            </w:r>
            <w:r>
              <w:rPr>
                <w:sz w:val="26"/>
                <w:szCs w:val="26"/>
              </w:rPr>
              <w:t xml:space="preserve">, </w:t>
            </w:r>
            <w:r w:rsidRPr="00EC73E5">
              <w:rPr>
                <w:sz w:val="26"/>
                <w:szCs w:val="26"/>
                <w:u w:val="single"/>
              </w:rPr>
              <w:t>Ban kiểm soát</w:t>
            </w:r>
            <w:r w:rsidRPr="00CE7D1C">
              <w:rPr>
                <w:sz w:val="26"/>
                <w:szCs w:val="26"/>
              </w:rPr>
              <w:t>;</w:t>
            </w:r>
          </w:p>
          <w:p w14:paraId="0E19D97E" w14:textId="77777777" w:rsidR="00384CE6" w:rsidRPr="00701114" w:rsidRDefault="00384CE6" w:rsidP="0062446A">
            <w:pPr>
              <w:jc w:val="both"/>
              <w:rPr>
                <w:sz w:val="26"/>
                <w:szCs w:val="26"/>
              </w:rPr>
            </w:pPr>
          </w:p>
        </w:tc>
        <w:tc>
          <w:tcPr>
            <w:tcW w:w="2649" w:type="dxa"/>
            <w:vAlign w:val="center"/>
          </w:tcPr>
          <w:p w14:paraId="10B964DC" w14:textId="77777777" w:rsidR="00384CE6" w:rsidRPr="00701114" w:rsidRDefault="00EC73E5" w:rsidP="0062446A">
            <w:pPr>
              <w:tabs>
                <w:tab w:val="left" w:pos="1080"/>
              </w:tabs>
              <w:jc w:val="both"/>
              <w:rPr>
                <w:sz w:val="26"/>
                <w:szCs w:val="26"/>
                <w:lang w:val="pt-BR"/>
              </w:rPr>
            </w:pPr>
            <w:r>
              <w:rPr>
                <w:sz w:val="26"/>
                <w:szCs w:val="26"/>
              </w:rPr>
              <w:t>Bổ sung thêm đối tượng Ban kiểm soát để phù hợp với mô hình</w:t>
            </w:r>
            <w:r w:rsidRPr="00701114">
              <w:rPr>
                <w:sz w:val="26"/>
                <w:szCs w:val="26"/>
              </w:rPr>
              <w:t xml:space="preserve"> tổ chức có Ban kiểm soát</w:t>
            </w:r>
          </w:p>
        </w:tc>
      </w:tr>
      <w:tr w:rsidR="00584E2A" w:rsidRPr="00D0182E" w14:paraId="6144541A" w14:textId="77777777" w:rsidTr="0062446A">
        <w:trPr>
          <w:trHeight w:val="1266"/>
        </w:trPr>
        <w:tc>
          <w:tcPr>
            <w:tcW w:w="851" w:type="dxa"/>
            <w:vAlign w:val="center"/>
          </w:tcPr>
          <w:p w14:paraId="5CCC70FF" w14:textId="77777777" w:rsidR="00384CE6" w:rsidRPr="00701114" w:rsidRDefault="00384CE6" w:rsidP="0062446A">
            <w:pPr>
              <w:numPr>
                <w:ilvl w:val="0"/>
                <w:numId w:val="26"/>
              </w:numPr>
              <w:jc w:val="center"/>
              <w:rPr>
                <w:sz w:val="26"/>
                <w:szCs w:val="26"/>
              </w:rPr>
            </w:pPr>
          </w:p>
        </w:tc>
        <w:tc>
          <w:tcPr>
            <w:tcW w:w="1687" w:type="dxa"/>
            <w:vAlign w:val="center"/>
          </w:tcPr>
          <w:p w14:paraId="2A17C041" w14:textId="77777777" w:rsidR="00384CE6" w:rsidRPr="00701114" w:rsidRDefault="00EC73E5" w:rsidP="0062446A">
            <w:pPr>
              <w:jc w:val="center"/>
              <w:rPr>
                <w:sz w:val="26"/>
                <w:szCs w:val="26"/>
              </w:rPr>
            </w:pPr>
            <w:r>
              <w:rPr>
                <w:sz w:val="26"/>
                <w:szCs w:val="26"/>
              </w:rPr>
              <w:t>Điểm a khoản 12 Điều 6</w:t>
            </w:r>
          </w:p>
        </w:tc>
        <w:tc>
          <w:tcPr>
            <w:tcW w:w="4302" w:type="dxa"/>
            <w:vAlign w:val="center"/>
          </w:tcPr>
          <w:p w14:paraId="6C373A61" w14:textId="77777777" w:rsidR="00EC73E5" w:rsidRPr="00CE7D1C" w:rsidRDefault="00EC73E5" w:rsidP="00EC73E5">
            <w:pPr>
              <w:widowControl w:val="0"/>
              <w:autoSpaceDE w:val="0"/>
              <w:autoSpaceDN w:val="0"/>
              <w:spacing w:after="120"/>
              <w:jc w:val="both"/>
              <w:rPr>
                <w:sz w:val="26"/>
                <w:szCs w:val="26"/>
                <w:lang w:val="vi-VN"/>
              </w:rPr>
            </w:pPr>
            <w:r w:rsidRPr="00CE7D1C">
              <w:rPr>
                <w:sz w:val="26"/>
                <w:szCs w:val="26"/>
              </w:rPr>
              <w:t xml:space="preserve">a. </w:t>
            </w:r>
            <w:r w:rsidRPr="00CE7D1C">
              <w:rPr>
                <w:sz w:val="26"/>
                <w:szCs w:val="26"/>
                <w:lang w:val="vi-VN"/>
              </w:rPr>
              <w:t xml:space="preserve">Cuộc họp Đại hội đồng cổ đông phải được ghi biên bản và có thể ghi âm hoặc ghi và lưu giữ dưới hình thức điện tử khác. </w:t>
            </w:r>
            <w:r w:rsidRPr="00D0182E">
              <w:rPr>
                <w:sz w:val="26"/>
                <w:szCs w:val="26"/>
                <w:lang w:val="vi-VN"/>
              </w:rPr>
              <w:t xml:space="preserve">Biên bản cuộc họp Đại hội đồng cổ đông họp trực tuyến có thể sử dụng dữ liệu điện tử đã được ghi và lưu tại cuộc họp như một phần nội dung của Biên bản. </w:t>
            </w:r>
            <w:r w:rsidRPr="00CE7D1C">
              <w:rPr>
                <w:sz w:val="26"/>
                <w:szCs w:val="26"/>
                <w:lang w:val="vi-VN"/>
              </w:rPr>
              <w:t>Biên bản phải được lập bằng tiếng Việt</w:t>
            </w:r>
            <w:r w:rsidRPr="00D0182E">
              <w:rPr>
                <w:sz w:val="26"/>
                <w:szCs w:val="26"/>
                <w:lang w:val="vi-VN"/>
              </w:rPr>
              <w:t>, có thể lập thêm bằng tiếng Anh và có các nội dung chủ yếu sau đây:</w:t>
            </w:r>
          </w:p>
          <w:p w14:paraId="1DC780FE" w14:textId="77777777" w:rsidR="00384CE6" w:rsidRPr="00D0182E" w:rsidRDefault="00384CE6" w:rsidP="0062446A">
            <w:pPr>
              <w:jc w:val="both"/>
              <w:rPr>
                <w:bCs/>
                <w:sz w:val="26"/>
                <w:szCs w:val="26"/>
                <w:lang w:val="vi-VN"/>
              </w:rPr>
            </w:pPr>
          </w:p>
        </w:tc>
        <w:tc>
          <w:tcPr>
            <w:tcW w:w="4828" w:type="dxa"/>
            <w:vAlign w:val="center"/>
          </w:tcPr>
          <w:p w14:paraId="09AC5D87" w14:textId="77777777" w:rsidR="00EC73E5" w:rsidRPr="00EC73E5" w:rsidRDefault="00EC73E5" w:rsidP="00EC73E5">
            <w:pPr>
              <w:widowControl w:val="0"/>
              <w:autoSpaceDE w:val="0"/>
              <w:autoSpaceDN w:val="0"/>
              <w:spacing w:after="120"/>
              <w:jc w:val="both"/>
              <w:rPr>
                <w:sz w:val="26"/>
                <w:szCs w:val="26"/>
                <w:u w:val="single"/>
                <w:lang w:val="vi-VN"/>
              </w:rPr>
            </w:pPr>
            <w:r w:rsidRPr="00D0182E">
              <w:rPr>
                <w:sz w:val="26"/>
                <w:szCs w:val="26"/>
                <w:lang w:val="vi-VN"/>
              </w:rPr>
              <w:t xml:space="preserve">a. </w:t>
            </w:r>
            <w:r w:rsidRPr="00CE7D1C">
              <w:rPr>
                <w:sz w:val="26"/>
                <w:szCs w:val="26"/>
                <w:lang w:val="vi-VN"/>
              </w:rPr>
              <w:t xml:space="preserve">Cuộc họp Đại hội đồng cổ đông phải được ghi biên bản và có thể ghi âm hoặc ghi và lưu giữ dưới hình thức điện tử khác. </w:t>
            </w:r>
            <w:r w:rsidRPr="00D0182E">
              <w:rPr>
                <w:sz w:val="26"/>
                <w:szCs w:val="26"/>
                <w:lang w:val="vi-VN"/>
              </w:rPr>
              <w:t xml:space="preserve">Biên bản cuộc họp Đại hội đồng cổ đông họp trực tuyến có thể sử dụng dữ liệu điện tử đã được ghi và lưu tại cuộc họp như một phần nội dung của Biên bản. </w:t>
            </w:r>
            <w:r w:rsidRPr="00CE7D1C">
              <w:rPr>
                <w:sz w:val="26"/>
                <w:szCs w:val="26"/>
                <w:lang w:val="vi-VN"/>
              </w:rPr>
              <w:t>Biên bản phải được lập bằng tiếng Việt</w:t>
            </w:r>
            <w:r w:rsidRPr="00D0182E">
              <w:rPr>
                <w:sz w:val="26"/>
                <w:szCs w:val="26"/>
                <w:lang w:val="vi-VN"/>
              </w:rPr>
              <w:t xml:space="preserve"> </w:t>
            </w:r>
            <w:r w:rsidRPr="00D0182E">
              <w:rPr>
                <w:sz w:val="26"/>
                <w:szCs w:val="26"/>
                <w:u w:val="single"/>
                <w:lang w:val="vi-VN"/>
              </w:rPr>
              <w:t>và</w:t>
            </w:r>
            <w:r w:rsidRPr="00EC73E5">
              <w:rPr>
                <w:sz w:val="26"/>
                <w:szCs w:val="26"/>
                <w:u w:val="single"/>
                <w:lang w:val="vi-VN"/>
              </w:rPr>
              <w:t xml:space="preserve"> bằng tiếng Anh </w:t>
            </w:r>
            <w:r w:rsidRPr="00D0182E">
              <w:rPr>
                <w:sz w:val="26"/>
                <w:szCs w:val="26"/>
                <w:u w:val="single"/>
                <w:lang w:val="vi-VN"/>
              </w:rPr>
              <w:t>với</w:t>
            </w:r>
            <w:r w:rsidRPr="00EC73E5">
              <w:rPr>
                <w:sz w:val="26"/>
                <w:szCs w:val="26"/>
                <w:u w:val="single"/>
                <w:lang w:val="vi-VN"/>
              </w:rPr>
              <w:t xml:space="preserve"> các nội dung chủ yếu sau đây:</w:t>
            </w:r>
          </w:p>
          <w:p w14:paraId="348CC1EF" w14:textId="77777777" w:rsidR="00BD4A57" w:rsidRPr="00701114" w:rsidRDefault="00BD4A57" w:rsidP="0062446A">
            <w:pPr>
              <w:jc w:val="both"/>
              <w:rPr>
                <w:color w:val="000000"/>
                <w:sz w:val="26"/>
                <w:szCs w:val="26"/>
                <w:lang w:val="nl-NL" w:eastAsia="x-none"/>
              </w:rPr>
            </w:pPr>
          </w:p>
        </w:tc>
        <w:tc>
          <w:tcPr>
            <w:tcW w:w="2649" w:type="dxa"/>
            <w:vAlign w:val="center"/>
          </w:tcPr>
          <w:p w14:paraId="16F8C904" w14:textId="77777777" w:rsidR="00384CE6" w:rsidRPr="00701114" w:rsidRDefault="00384CE6" w:rsidP="0062446A">
            <w:pPr>
              <w:tabs>
                <w:tab w:val="left" w:pos="1080"/>
              </w:tabs>
              <w:jc w:val="both"/>
              <w:rPr>
                <w:sz w:val="26"/>
                <w:szCs w:val="26"/>
                <w:lang w:val="pt-BR"/>
              </w:rPr>
            </w:pPr>
          </w:p>
        </w:tc>
      </w:tr>
      <w:tr w:rsidR="00EC73E5" w:rsidRPr="00701114" w14:paraId="7F99EEB2" w14:textId="77777777" w:rsidTr="0062446A">
        <w:trPr>
          <w:trHeight w:val="1266"/>
        </w:trPr>
        <w:tc>
          <w:tcPr>
            <w:tcW w:w="851" w:type="dxa"/>
            <w:vAlign w:val="center"/>
          </w:tcPr>
          <w:p w14:paraId="155B4563" w14:textId="77777777" w:rsidR="00EC73E5" w:rsidRPr="00D0182E" w:rsidRDefault="00EC73E5" w:rsidP="0062446A">
            <w:pPr>
              <w:numPr>
                <w:ilvl w:val="0"/>
                <w:numId w:val="26"/>
              </w:numPr>
              <w:jc w:val="center"/>
              <w:rPr>
                <w:sz w:val="26"/>
                <w:szCs w:val="26"/>
                <w:lang w:val="vi-VN"/>
              </w:rPr>
            </w:pPr>
          </w:p>
        </w:tc>
        <w:tc>
          <w:tcPr>
            <w:tcW w:w="1687" w:type="dxa"/>
            <w:vAlign w:val="center"/>
          </w:tcPr>
          <w:p w14:paraId="69819591" w14:textId="77777777" w:rsidR="00EC73E5" w:rsidRDefault="00EC73E5" w:rsidP="0062446A">
            <w:pPr>
              <w:jc w:val="center"/>
              <w:rPr>
                <w:sz w:val="26"/>
                <w:szCs w:val="26"/>
              </w:rPr>
            </w:pPr>
            <w:r>
              <w:rPr>
                <w:sz w:val="26"/>
                <w:szCs w:val="26"/>
              </w:rPr>
              <w:t>Khoản 5 Điều 7</w:t>
            </w:r>
          </w:p>
        </w:tc>
        <w:tc>
          <w:tcPr>
            <w:tcW w:w="4302" w:type="dxa"/>
            <w:vAlign w:val="center"/>
          </w:tcPr>
          <w:p w14:paraId="2B53DB21" w14:textId="77777777" w:rsidR="00EC73E5" w:rsidRPr="00CE7D1C" w:rsidRDefault="00EC73E5" w:rsidP="00EC73E5">
            <w:pPr>
              <w:widowControl w:val="0"/>
              <w:autoSpaceDE w:val="0"/>
              <w:autoSpaceDN w:val="0"/>
              <w:spacing w:after="120"/>
              <w:jc w:val="both"/>
              <w:rPr>
                <w:sz w:val="26"/>
                <w:szCs w:val="26"/>
              </w:rPr>
            </w:pPr>
            <w:r w:rsidRPr="00EC73E5">
              <w:rPr>
                <w:sz w:val="26"/>
                <w:szCs w:val="26"/>
              </w:rPr>
              <w:t>5. Hội đồng quản trị kiểm phiếu và lập biên bản kiểm phiếu dưới sự chứng kiến của cổ đông không nắm giữ chức vụ quản lý Tổng công ty. Biên bản kiểm phiếu phải có các nội dung chủ yếu sau đây:</w:t>
            </w:r>
          </w:p>
        </w:tc>
        <w:tc>
          <w:tcPr>
            <w:tcW w:w="4828" w:type="dxa"/>
            <w:vAlign w:val="center"/>
          </w:tcPr>
          <w:p w14:paraId="4B0A59B4" w14:textId="77777777" w:rsidR="00EC73E5" w:rsidRPr="00CE7D1C" w:rsidRDefault="00EC73E5" w:rsidP="00EC73E5">
            <w:pPr>
              <w:jc w:val="both"/>
              <w:rPr>
                <w:sz w:val="26"/>
                <w:szCs w:val="26"/>
              </w:rPr>
            </w:pPr>
            <w:r>
              <w:rPr>
                <w:sz w:val="26"/>
                <w:szCs w:val="26"/>
              </w:rPr>
              <w:t>5. </w:t>
            </w:r>
            <w:r w:rsidRPr="00CE7D1C">
              <w:rPr>
                <w:sz w:val="26"/>
                <w:szCs w:val="26"/>
              </w:rPr>
              <w:t xml:space="preserve">Hội đồng quản trị kiểm phiếu và lập biên bản kiểm phiếu dưới sự chứng kiến </w:t>
            </w:r>
            <w:r w:rsidRPr="00CD7DEC">
              <w:rPr>
                <w:sz w:val="26"/>
                <w:szCs w:val="26"/>
                <w:u w:val="single"/>
              </w:rPr>
              <w:t>của của Ban kiểm soát hoặc</w:t>
            </w:r>
            <w:r>
              <w:rPr>
                <w:sz w:val="26"/>
                <w:szCs w:val="26"/>
              </w:rPr>
              <w:t xml:space="preserve"> </w:t>
            </w:r>
            <w:r w:rsidRPr="00CE7D1C">
              <w:rPr>
                <w:sz w:val="26"/>
                <w:szCs w:val="26"/>
              </w:rPr>
              <w:t>cổ đông không nắm giữ chức vụ quản lý Tổng công ty. Biên bản kiểm phiếu phải có các nội dung chủ yếu sau đây:</w:t>
            </w:r>
          </w:p>
          <w:p w14:paraId="67202AA0" w14:textId="77777777" w:rsidR="00EC73E5" w:rsidRPr="00CE7D1C" w:rsidRDefault="00EC73E5" w:rsidP="00EC73E5">
            <w:pPr>
              <w:widowControl w:val="0"/>
              <w:autoSpaceDE w:val="0"/>
              <w:autoSpaceDN w:val="0"/>
              <w:spacing w:after="120"/>
              <w:jc w:val="both"/>
              <w:rPr>
                <w:sz w:val="26"/>
                <w:szCs w:val="26"/>
              </w:rPr>
            </w:pPr>
          </w:p>
        </w:tc>
        <w:tc>
          <w:tcPr>
            <w:tcW w:w="2649" w:type="dxa"/>
            <w:vAlign w:val="center"/>
          </w:tcPr>
          <w:p w14:paraId="58102CF7" w14:textId="77777777" w:rsidR="00EC73E5" w:rsidRPr="00701114" w:rsidRDefault="00EC73E5" w:rsidP="0062446A">
            <w:pPr>
              <w:tabs>
                <w:tab w:val="left" w:pos="1080"/>
              </w:tabs>
              <w:jc w:val="both"/>
              <w:rPr>
                <w:sz w:val="26"/>
                <w:szCs w:val="26"/>
                <w:lang w:val="pt-BR"/>
              </w:rPr>
            </w:pPr>
          </w:p>
        </w:tc>
      </w:tr>
      <w:tr w:rsidR="00584E2A" w:rsidRPr="00D0182E" w14:paraId="25F790B3" w14:textId="77777777" w:rsidTr="0062446A">
        <w:trPr>
          <w:trHeight w:val="1978"/>
        </w:trPr>
        <w:tc>
          <w:tcPr>
            <w:tcW w:w="851" w:type="dxa"/>
            <w:vAlign w:val="center"/>
          </w:tcPr>
          <w:p w14:paraId="4F67233E" w14:textId="77777777" w:rsidR="00384CE6" w:rsidRPr="00701114" w:rsidRDefault="00384CE6" w:rsidP="0062446A">
            <w:pPr>
              <w:numPr>
                <w:ilvl w:val="0"/>
                <w:numId w:val="26"/>
              </w:numPr>
              <w:jc w:val="center"/>
              <w:rPr>
                <w:sz w:val="26"/>
                <w:szCs w:val="26"/>
              </w:rPr>
            </w:pPr>
          </w:p>
        </w:tc>
        <w:tc>
          <w:tcPr>
            <w:tcW w:w="1687" w:type="dxa"/>
          </w:tcPr>
          <w:p w14:paraId="42BFCFAC" w14:textId="77777777" w:rsidR="00384CE6" w:rsidRPr="00701114" w:rsidRDefault="00CD7DEC" w:rsidP="0062446A">
            <w:pPr>
              <w:jc w:val="center"/>
              <w:rPr>
                <w:sz w:val="26"/>
                <w:szCs w:val="26"/>
              </w:rPr>
            </w:pPr>
            <w:r>
              <w:rPr>
                <w:sz w:val="26"/>
                <w:szCs w:val="26"/>
              </w:rPr>
              <w:t>Khoản 5 Điều 8</w:t>
            </w:r>
          </w:p>
        </w:tc>
        <w:tc>
          <w:tcPr>
            <w:tcW w:w="4302" w:type="dxa"/>
            <w:vAlign w:val="center"/>
          </w:tcPr>
          <w:p w14:paraId="538EE4A2" w14:textId="77777777" w:rsidR="00384CE6" w:rsidRPr="00701114" w:rsidRDefault="00CD7DEC" w:rsidP="0062446A">
            <w:pPr>
              <w:tabs>
                <w:tab w:val="num" w:pos="897"/>
              </w:tabs>
              <w:jc w:val="both"/>
              <w:rPr>
                <w:bCs/>
                <w:color w:val="000000"/>
                <w:sz w:val="26"/>
                <w:szCs w:val="26"/>
                <w:lang w:val="nl-NL" w:eastAsia="x-none"/>
              </w:rPr>
            </w:pPr>
            <w:r w:rsidRPr="00CD7DEC">
              <w:rPr>
                <w:bCs/>
                <w:color w:val="000000"/>
                <w:sz w:val="26"/>
                <w:szCs w:val="26"/>
                <w:lang w:val="nl-NL" w:eastAsia="x-none"/>
              </w:rPr>
              <w:t>5. Hoạt động của Ủy ban kiểm toán trực thuộc Hội đồng quản trị trong trường hợp Tổng công ty hoạt động theo mô hình quy định tại điểm b khoản 1 Điều 137 Luật Doanh nghiệp.</w:t>
            </w:r>
          </w:p>
        </w:tc>
        <w:tc>
          <w:tcPr>
            <w:tcW w:w="4828" w:type="dxa"/>
            <w:vAlign w:val="center"/>
          </w:tcPr>
          <w:p w14:paraId="2BE5EAF4" w14:textId="77777777" w:rsidR="00CD7DEC" w:rsidRPr="00D0182E" w:rsidRDefault="00CD7DEC" w:rsidP="00CD7DEC">
            <w:pPr>
              <w:shd w:val="clear" w:color="auto" w:fill="FFFFFF"/>
              <w:spacing w:after="120"/>
              <w:jc w:val="both"/>
              <w:rPr>
                <w:sz w:val="26"/>
                <w:szCs w:val="26"/>
                <w:lang w:val="nl-NL"/>
              </w:rPr>
            </w:pPr>
            <w:r w:rsidRPr="00CE7D1C">
              <w:rPr>
                <w:sz w:val="26"/>
                <w:szCs w:val="26"/>
                <w:lang w:val="vi-VN"/>
              </w:rPr>
              <w:t xml:space="preserve">5. Hoạt động của </w:t>
            </w:r>
            <w:r w:rsidRPr="00D0182E">
              <w:rPr>
                <w:sz w:val="26"/>
                <w:szCs w:val="26"/>
                <w:lang w:val="nl-NL"/>
              </w:rPr>
              <w:t xml:space="preserve">Ban Kiểm soát </w:t>
            </w:r>
            <w:r w:rsidRPr="00CE7D1C">
              <w:rPr>
                <w:sz w:val="26"/>
                <w:szCs w:val="26"/>
                <w:lang w:val="vi-VN"/>
              </w:rPr>
              <w:t xml:space="preserve">trong trường hợp </w:t>
            </w:r>
            <w:r w:rsidRPr="00D0182E">
              <w:rPr>
                <w:sz w:val="26"/>
                <w:szCs w:val="26"/>
                <w:lang w:val="nl-NL"/>
              </w:rPr>
              <w:t>Tổng công ty</w:t>
            </w:r>
            <w:r w:rsidRPr="00CE7D1C">
              <w:rPr>
                <w:sz w:val="26"/>
                <w:szCs w:val="26"/>
                <w:lang w:val="vi-VN"/>
              </w:rPr>
              <w:t xml:space="preserve"> hoạt động theo mô hình quy định tại </w:t>
            </w:r>
            <w:bookmarkStart w:id="0" w:name="dc_150"/>
            <w:r w:rsidRPr="00CE7D1C">
              <w:rPr>
                <w:sz w:val="26"/>
                <w:szCs w:val="26"/>
                <w:lang w:val="vi-VN"/>
              </w:rPr>
              <w:t xml:space="preserve">điểm </w:t>
            </w:r>
            <w:r w:rsidRPr="00D0182E">
              <w:rPr>
                <w:sz w:val="26"/>
                <w:szCs w:val="26"/>
                <w:lang w:val="nl-NL"/>
              </w:rPr>
              <w:t xml:space="preserve">a </w:t>
            </w:r>
            <w:r w:rsidRPr="00CE7D1C">
              <w:rPr>
                <w:sz w:val="26"/>
                <w:szCs w:val="26"/>
                <w:lang w:val="vi-VN"/>
              </w:rPr>
              <w:t>khoản 1 Điều 137 Luật Doanh nghiệp</w:t>
            </w:r>
            <w:bookmarkEnd w:id="0"/>
            <w:r w:rsidRPr="00CE7D1C">
              <w:rPr>
                <w:sz w:val="26"/>
                <w:szCs w:val="26"/>
                <w:lang w:val="vi-VN"/>
              </w:rPr>
              <w:t>.</w:t>
            </w:r>
          </w:p>
          <w:p w14:paraId="2E734CC9" w14:textId="77777777" w:rsidR="00384CE6" w:rsidRPr="00D0182E" w:rsidRDefault="00384CE6" w:rsidP="0062446A">
            <w:pPr>
              <w:tabs>
                <w:tab w:val="left" w:pos="1080"/>
              </w:tabs>
              <w:jc w:val="both"/>
              <w:rPr>
                <w:sz w:val="26"/>
                <w:szCs w:val="26"/>
                <w:lang w:val="nl-NL"/>
              </w:rPr>
            </w:pPr>
          </w:p>
        </w:tc>
        <w:tc>
          <w:tcPr>
            <w:tcW w:w="2649" w:type="dxa"/>
            <w:vAlign w:val="center"/>
          </w:tcPr>
          <w:p w14:paraId="18559310" w14:textId="77777777" w:rsidR="00384CE6" w:rsidRPr="00D0182E" w:rsidRDefault="00384CE6" w:rsidP="0062446A">
            <w:pPr>
              <w:tabs>
                <w:tab w:val="num" w:pos="897"/>
              </w:tabs>
              <w:jc w:val="both"/>
              <w:rPr>
                <w:sz w:val="26"/>
                <w:szCs w:val="26"/>
                <w:lang w:val="nl-NL"/>
              </w:rPr>
            </w:pPr>
          </w:p>
        </w:tc>
      </w:tr>
      <w:tr w:rsidR="00C85720" w:rsidRPr="00D0182E" w14:paraId="1E67D3DE" w14:textId="77777777" w:rsidTr="0062446A">
        <w:trPr>
          <w:trHeight w:val="556"/>
        </w:trPr>
        <w:tc>
          <w:tcPr>
            <w:tcW w:w="851" w:type="dxa"/>
            <w:vAlign w:val="center"/>
          </w:tcPr>
          <w:p w14:paraId="2576EC3C" w14:textId="77777777" w:rsidR="00A72CC6" w:rsidRPr="00D0182E" w:rsidRDefault="00A72CC6" w:rsidP="0062446A">
            <w:pPr>
              <w:numPr>
                <w:ilvl w:val="0"/>
                <w:numId w:val="26"/>
              </w:numPr>
              <w:jc w:val="center"/>
              <w:rPr>
                <w:sz w:val="26"/>
                <w:szCs w:val="26"/>
                <w:lang w:val="nl-NL"/>
              </w:rPr>
            </w:pPr>
          </w:p>
        </w:tc>
        <w:tc>
          <w:tcPr>
            <w:tcW w:w="1687" w:type="dxa"/>
          </w:tcPr>
          <w:p w14:paraId="5E517F07" w14:textId="77777777" w:rsidR="00A72CC6" w:rsidRPr="00701114" w:rsidRDefault="00CD7DEC" w:rsidP="0062446A">
            <w:pPr>
              <w:jc w:val="center"/>
              <w:rPr>
                <w:sz w:val="26"/>
                <w:szCs w:val="26"/>
              </w:rPr>
            </w:pPr>
            <w:r>
              <w:rPr>
                <w:sz w:val="26"/>
                <w:szCs w:val="26"/>
              </w:rPr>
              <w:t>Khoản 3, khoản 4 Điều 12</w:t>
            </w:r>
          </w:p>
        </w:tc>
        <w:tc>
          <w:tcPr>
            <w:tcW w:w="4302" w:type="dxa"/>
            <w:vAlign w:val="center"/>
          </w:tcPr>
          <w:p w14:paraId="77832973" w14:textId="77777777" w:rsidR="00CD7DEC" w:rsidRDefault="00CD7DEC" w:rsidP="0062446A">
            <w:pPr>
              <w:tabs>
                <w:tab w:val="num" w:pos="897"/>
              </w:tabs>
              <w:jc w:val="both"/>
              <w:rPr>
                <w:color w:val="000000"/>
                <w:sz w:val="26"/>
                <w:szCs w:val="26"/>
                <w:lang w:eastAsia="x-none"/>
              </w:rPr>
            </w:pPr>
            <w:r w:rsidRPr="00CD7DEC">
              <w:rPr>
                <w:color w:val="000000"/>
                <w:sz w:val="26"/>
                <w:szCs w:val="26"/>
                <w:lang w:eastAsia="x-none"/>
              </w:rPr>
              <w:t xml:space="preserve">3. Chủ tịch Hội đồng quản trị không kiêm nhiệm chức Tổng giám đốc điều hành trừ khi việc kiêm nhiệm này được phê chuẩn hàng năm tại Đại hội đồng cổ đông thường niên. </w:t>
            </w:r>
          </w:p>
          <w:p w14:paraId="7DDA0EEB" w14:textId="77777777" w:rsidR="00A72CC6" w:rsidRPr="00701114" w:rsidRDefault="00CD7DEC" w:rsidP="0062446A">
            <w:pPr>
              <w:tabs>
                <w:tab w:val="num" w:pos="897"/>
              </w:tabs>
              <w:jc w:val="both"/>
              <w:rPr>
                <w:color w:val="000000"/>
                <w:sz w:val="26"/>
                <w:szCs w:val="26"/>
                <w:lang w:eastAsia="x-none"/>
              </w:rPr>
            </w:pPr>
            <w:r w:rsidRPr="00CD7DEC">
              <w:rPr>
                <w:color w:val="000000"/>
                <w:sz w:val="26"/>
                <w:szCs w:val="26"/>
                <w:lang w:eastAsia="x-none"/>
              </w:rPr>
              <w:t>4. Thành viên Hội đồng quản trị của Tổng công ty không được đồng thời là Thành viên Hội đồng quản trị quá 05 công ty khác.</w:t>
            </w:r>
          </w:p>
        </w:tc>
        <w:tc>
          <w:tcPr>
            <w:tcW w:w="4828" w:type="dxa"/>
            <w:vAlign w:val="center"/>
          </w:tcPr>
          <w:p w14:paraId="317B4E2D" w14:textId="77777777" w:rsidR="00CD7DEC" w:rsidRPr="00CE7D1C" w:rsidRDefault="00CD7DEC" w:rsidP="00CD7DEC">
            <w:pPr>
              <w:widowControl w:val="0"/>
              <w:jc w:val="both"/>
              <w:rPr>
                <w:sz w:val="26"/>
                <w:szCs w:val="26"/>
              </w:rPr>
            </w:pPr>
            <w:r w:rsidRPr="00CE7D1C">
              <w:rPr>
                <w:sz w:val="26"/>
                <w:szCs w:val="26"/>
              </w:rPr>
              <w:t>3. Chủ tịch Hội đồng quản trị không kiêm nhiệm chức Tổng giám đốc</w:t>
            </w:r>
            <w:r>
              <w:rPr>
                <w:sz w:val="26"/>
                <w:szCs w:val="26"/>
              </w:rPr>
              <w:t>.</w:t>
            </w:r>
          </w:p>
          <w:p w14:paraId="6272D11D" w14:textId="77777777" w:rsidR="00CD7DEC" w:rsidRPr="00CE7D1C" w:rsidRDefault="00CD7DEC" w:rsidP="00CD7DEC">
            <w:pPr>
              <w:widowControl w:val="0"/>
              <w:jc w:val="both"/>
              <w:rPr>
                <w:sz w:val="26"/>
                <w:szCs w:val="26"/>
              </w:rPr>
            </w:pPr>
            <w:r w:rsidRPr="00CE7D1C">
              <w:rPr>
                <w:sz w:val="26"/>
                <w:szCs w:val="26"/>
              </w:rPr>
              <w:t>4. Thành viên Hội đồng quản trị của Tổng công ty không được đồng thời là Thành viên Hội đồng quản trị</w:t>
            </w:r>
            <w:r>
              <w:rPr>
                <w:sz w:val="26"/>
                <w:szCs w:val="26"/>
              </w:rPr>
              <w:t xml:space="preserve"> hoặc Hội đồng Thành viên</w:t>
            </w:r>
            <w:r w:rsidRPr="00CE7D1C">
              <w:rPr>
                <w:sz w:val="26"/>
                <w:szCs w:val="26"/>
              </w:rPr>
              <w:t xml:space="preserve"> quá 05 công ty khác.</w:t>
            </w:r>
          </w:p>
          <w:p w14:paraId="69CD2B49" w14:textId="77777777" w:rsidR="00A72CC6" w:rsidRPr="00701114" w:rsidRDefault="00A72CC6" w:rsidP="0062446A">
            <w:pPr>
              <w:jc w:val="both"/>
              <w:rPr>
                <w:sz w:val="26"/>
                <w:szCs w:val="26"/>
                <w:lang w:val="nl-NL" w:eastAsia="x-none"/>
              </w:rPr>
            </w:pPr>
          </w:p>
        </w:tc>
        <w:tc>
          <w:tcPr>
            <w:tcW w:w="2649" w:type="dxa"/>
            <w:vAlign w:val="center"/>
          </w:tcPr>
          <w:p w14:paraId="7F0282FB" w14:textId="77777777" w:rsidR="00A72CC6" w:rsidRPr="00D0182E" w:rsidRDefault="00CD7DEC" w:rsidP="0062446A">
            <w:pPr>
              <w:tabs>
                <w:tab w:val="num" w:pos="897"/>
              </w:tabs>
              <w:jc w:val="both"/>
              <w:rPr>
                <w:sz w:val="26"/>
                <w:szCs w:val="26"/>
                <w:lang w:val="nl-NL"/>
              </w:rPr>
            </w:pPr>
            <w:r w:rsidRPr="00D0182E">
              <w:rPr>
                <w:sz w:val="26"/>
                <w:szCs w:val="26"/>
                <w:lang w:val="nl-NL"/>
              </w:rPr>
              <w:t>Sửa đổi để thống nhất với dự thảo Điều lệ và phù hợp với quy định tại khoản 2 Điều 275 Nghị định 155/2020/ND-CP và Khoản 78 Điều 1 Nghị định 245/2025/NĐ-CP</w:t>
            </w:r>
          </w:p>
        </w:tc>
      </w:tr>
      <w:tr w:rsidR="00584E2A" w:rsidRPr="00701114" w14:paraId="349739A8" w14:textId="77777777" w:rsidTr="0062446A">
        <w:trPr>
          <w:trHeight w:val="556"/>
        </w:trPr>
        <w:tc>
          <w:tcPr>
            <w:tcW w:w="851" w:type="dxa"/>
            <w:vAlign w:val="center"/>
          </w:tcPr>
          <w:p w14:paraId="1037A8B8" w14:textId="77777777" w:rsidR="00A72CC6" w:rsidRPr="00D0182E" w:rsidRDefault="00A72CC6" w:rsidP="0062446A">
            <w:pPr>
              <w:numPr>
                <w:ilvl w:val="0"/>
                <w:numId w:val="26"/>
              </w:numPr>
              <w:jc w:val="center"/>
              <w:rPr>
                <w:sz w:val="26"/>
                <w:szCs w:val="26"/>
                <w:lang w:val="nl-NL"/>
              </w:rPr>
            </w:pPr>
          </w:p>
        </w:tc>
        <w:tc>
          <w:tcPr>
            <w:tcW w:w="1687" w:type="dxa"/>
          </w:tcPr>
          <w:p w14:paraId="42504FBE" w14:textId="77777777" w:rsidR="00A72CC6" w:rsidRPr="00701114" w:rsidRDefault="00CD7DEC" w:rsidP="0062446A">
            <w:pPr>
              <w:jc w:val="center"/>
              <w:rPr>
                <w:sz w:val="26"/>
                <w:szCs w:val="26"/>
              </w:rPr>
            </w:pPr>
            <w:r>
              <w:rPr>
                <w:sz w:val="26"/>
                <w:szCs w:val="26"/>
              </w:rPr>
              <w:t>Khoản 4 Điều 13</w:t>
            </w:r>
          </w:p>
        </w:tc>
        <w:tc>
          <w:tcPr>
            <w:tcW w:w="4302" w:type="dxa"/>
            <w:vAlign w:val="center"/>
          </w:tcPr>
          <w:p w14:paraId="1E100F02" w14:textId="77777777" w:rsidR="00A72CC6" w:rsidRPr="00701114" w:rsidRDefault="00CD7DEC" w:rsidP="0062446A">
            <w:pPr>
              <w:tabs>
                <w:tab w:val="num" w:pos="897"/>
              </w:tabs>
              <w:jc w:val="both"/>
              <w:rPr>
                <w:color w:val="000000"/>
                <w:sz w:val="26"/>
                <w:szCs w:val="26"/>
                <w:lang w:eastAsia="x-none"/>
              </w:rPr>
            </w:pPr>
            <w:r w:rsidRPr="00CD7DEC">
              <w:rPr>
                <w:color w:val="000000"/>
                <w:sz w:val="26"/>
                <w:szCs w:val="26"/>
                <w:lang w:eastAsia="x-none"/>
              </w:rPr>
              <w:t>4. Thành viên Hội đồng quản trị của Tổng công ty không được đồng thời là thành viên Hội đồng quản trị của trên năm (05) công ty khác, trừ trường hợp là thành viên Hội đồng quản trị của các công ty trong cùng Tập đoàn hoặc các công ty hoạt động theo nhóm công ty, bao gồm công ty mẹ - công ty con, tập đoàn kinh tế hoặc là người đại diện của công ty quản lý quỹ, công ty đầu tư chứng khoán.</w:t>
            </w:r>
          </w:p>
        </w:tc>
        <w:tc>
          <w:tcPr>
            <w:tcW w:w="4828" w:type="dxa"/>
            <w:vAlign w:val="center"/>
          </w:tcPr>
          <w:p w14:paraId="691C712D" w14:textId="77777777" w:rsidR="00A72CC6" w:rsidRPr="00CD7DEC" w:rsidRDefault="00CD7DEC" w:rsidP="0062446A">
            <w:pPr>
              <w:jc w:val="both"/>
              <w:rPr>
                <w:sz w:val="26"/>
                <w:szCs w:val="26"/>
              </w:rPr>
            </w:pPr>
            <w:r w:rsidRPr="00CD7DEC">
              <w:rPr>
                <w:sz w:val="26"/>
                <w:szCs w:val="26"/>
              </w:rPr>
              <w:t>Bãi bỏ</w:t>
            </w:r>
            <w:r>
              <w:rPr>
                <w:sz w:val="26"/>
                <w:szCs w:val="26"/>
              </w:rPr>
              <w:t xml:space="preserve"> do nội dung tương tự với khoản 4 Điều 12 </w:t>
            </w:r>
          </w:p>
        </w:tc>
        <w:tc>
          <w:tcPr>
            <w:tcW w:w="2649" w:type="dxa"/>
            <w:vAlign w:val="center"/>
          </w:tcPr>
          <w:p w14:paraId="032EC70F" w14:textId="77777777" w:rsidR="00A72CC6" w:rsidRPr="00701114" w:rsidRDefault="00A72CC6" w:rsidP="0062446A">
            <w:pPr>
              <w:tabs>
                <w:tab w:val="num" w:pos="897"/>
              </w:tabs>
              <w:jc w:val="both"/>
              <w:rPr>
                <w:sz w:val="26"/>
                <w:szCs w:val="26"/>
              </w:rPr>
            </w:pPr>
          </w:p>
        </w:tc>
      </w:tr>
      <w:tr w:rsidR="00584E2A" w:rsidRPr="00701114" w14:paraId="084D43A0" w14:textId="77777777" w:rsidTr="0062446A">
        <w:trPr>
          <w:trHeight w:val="1978"/>
        </w:trPr>
        <w:tc>
          <w:tcPr>
            <w:tcW w:w="851" w:type="dxa"/>
            <w:vAlign w:val="center"/>
          </w:tcPr>
          <w:p w14:paraId="288BA625" w14:textId="77777777" w:rsidR="00D62CE0" w:rsidRPr="00701114" w:rsidRDefault="00D62CE0" w:rsidP="0062446A">
            <w:pPr>
              <w:numPr>
                <w:ilvl w:val="0"/>
                <w:numId w:val="26"/>
              </w:numPr>
              <w:jc w:val="center"/>
              <w:rPr>
                <w:sz w:val="26"/>
                <w:szCs w:val="26"/>
              </w:rPr>
            </w:pPr>
          </w:p>
        </w:tc>
        <w:tc>
          <w:tcPr>
            <w:tcW w:w="1687" w:type="dxa"/>
          </w:tcPr>
          <w:p w14:paraId="1071A832" w14:textId="77777777" w:rsidR="00D62CE0" w:rsidRPr="00701114" w:rsidRDefault="00CD7DEC" w:rsidP="0062446A">
            <w:pPr>
              <w:jc w:val="center"/>
              <w:rPr>
                <w:sz w:val="26"/>
                <w:szCs w:val="26"/>
              </w:rPr>
            </w:pPr>
            <w:r>
              <w:rPr>
                <w:sz w:val="26"/>
                <w:szCs w:val="26"/>
              </w:rPr>
              <w:t>Khoản 7 Điều 15</w:t>
            </w:r>
          </w:p>
        </w:tc>
        <w:tc>
          <w:tcPr>
            <w:tcW w:w="4302" w:type="dxa"/>
            <w:vAlign w:val="center"/>
          </w:tcPr>
          <w:p w14:paraId="734E35F7" w14:textId="77777777" w:rsidR="00CD7DEC" w:rsidRPr="00CE7D1C" w:rsidRDefault="00CD7DEC" w:rsidP="00CD7DEC">
            <w:pPr>
              <w:shd w:val="clear" w:color="auto" w:fill="FFFFFF"/>
              <w:spacing w:before="120" w:after="120"/>
              <w:jc w:val="both"/>
              <w:rPr>
                <w:sz w:val="26"/>
                <w:szCs w:val="26"/>
              </w:rPr>
            </w:pPr>
            <w:r w:rsidRPr="00CE7D1C">
              <w:rPr>
                <w:sz w:val="26"/>
                <w:szCs w:val="26"/>
              </w:rPr>
              <w:t>7</w:t>
            </w:r>
            <w:r w:rsidRPr="00CE7D1C">
              <w:rPr>
                <w:sz w:val="26"/>
                <w:szCs w:val="26"/>
                <w:lang w:val="vi-VN"/>
              </w:rPr>
              <w:t>. Tổ chức đào tạo, tập huấn về quản trị công ty và các kỹ năng cần thiết cho thành viên Hội đồng quản trị, Tổng giám đốc</w:t>
            </w:r>
            <w:r>
              <w:rPr>
                <w:sz w:val="26"/>
                <w:szCs w:val="26"/>
              </w:rPr>
              <w:t xml:space="preserve"> </w:t>
            </w:r>
            <w:r w:rsidRPr="00CE7D1C">
              <w:rPr>
                <w:sz w:val="26"/>
                <w:szCs w:val="26"/>
                <w:lang w:val="vi-VN"/>
              </w:rPr>
              <w:t xml:space="preserve">và người quản lý khác của </w:t>
            </w:r>
            <w:r w:rsidRPr="00CE7D1C">
              <w:rPr>
                <w:sz w:val="26"/>
                <w:szCs w:val="26"/>
              </w:rPr>
              <w:t xml:space="preserve">Tổng </w:t>
            </w:r>
            <w:r w:rsidRPr="00CE7D1C">
              <w:rPr>
                <w:sz w:val="26"/>
                <w:szCs w:val="26"/>
                <w:lang w:val="vi-VN"/>
              </w:rPr>
              <w:t>công ty.</w:t>
            </w:r>
          </w:p>
          <w:p w14:paraId="1A794097" w14:textId="77777777" w:rsidR="00D62CE0" w:rsidRPr="00701114" w:rsidRDefault="00D62CE0" w:rsidP="0062446A">
            <w:pPr>
              <w:tabs>
                <w:tab w:val="num" w:pos="897"/>
              </w:tabs>
              <w:jc w:val="both"/>
              <w:rPr>
                <w:color w:val="000000"/>
                <w:sz w:val="26"/>
                <w:szCs w:val="26"/>
                <w:lang w:eastAsia="x-none"/>
              </w:rPr>
            </w:pPr>
          </w:p>
        </w:tc>
        <w:tc>
          <w:tcPr>
            <w:tcW w:w="4828" w:type="dxa"/>
            <w:vAlign w:val="center"/>
          </w:tcPr>
          <w:p w14:paraId="38AF9E13" w14:textId="77777777" w:rsidR="00CD7DEC" w:rsidRPr="00CE7D1C" w:rsidRDefault="00CD7DEC" w:rsidP="00CD7DEC">
            <w:pPr>
              <w:shd w:val="clear" w:color="auto" w:fill="FFFFFF"/>
              <w:spacing w:before="120" w:after="120"/>
              <w:jc w:val="both"/>
              <w:rPr>
                <w:sz w:val="26"/>
                <w:szCs w:val="26"/>
              </w:rPr>
            </w:pPr>
            <w:r w:rsidRPr="00CE7D1C">
              <w:rPr>
                <w:sz w:val="26"/>
                <w:szCs w:val="26"/>
              </w:rPr>
              <w:t>7</w:t>
            </w:r>
            <w:r w:rsidRPr="00CE7D1C">
              <w:rPr>
                <w:sz w:val="26"/>
                <w:szCs w:val="26"/>
                <w:lang w:val="vi-VN"/>
              </w:rPr>
              <w:t>. Tổ chức đào tạo, tập huấn về quản trị công ty và các kỹ năng cần thiết cho thành viên Hội đồng quản trị, Tổng giám đốc</w:t>
            </w:r>
            <w:r>
              <w:rPr>
                <w:sz w:val="26"/>
                <w:szCs w:val="26"/>
              </w:rPr>
              <w:t xml:space="preserve">, </w:t>
            </w:r>
            <w:r w:rsidRPr="00CD7DEC">
              <w:rPr>
                <w:sz w:val="26"/>
                <w:szCs w:val="26"/>
                <w:u w:val="single"/>
              </w:rPr>
              <w:t>người phụ trách quản trị</w:t>
            </w:r>
            <w:r w:rsidRPr="00CE7D1C">
              <w:rPr>
                <w:sz w:val="26"/>
                <w:szCs w:val="26"/>
                <w:lang w:val="vi-VN"/>
              </w:rPr>
              <w:t xml:space="preserve"> và người quản lý khác của </w:t>
            </w:r>
            <w:r w:rsidRPr="00CE7D1C">
              <w:rPr>
                <w:sz w:val="26"/>
                <w:szCs w:val="26"/>
              </w:rPr>
              <w:t xml:space="preserve">Tổng </w:t>
            </w:r>
            <w:r w:rsidRPr="00CE7D1C">
              <w:rPr>
                <w:sz w:val="26"/>
                <w:szCs w:val="26"/>
                <w:lang w:val="vi-VN"/>
              </w:rPr>
              <w:t>công ty.</w:t>
            </w:r>
          </w:p>
          <w:p w14:paraId="445001BD" w14:textId="77777777" w:rsidR="00D62CE0" w:rsidRPr="00701114" w:rsidRDefault="00D62CE0" w:rsidP="00CD7DEC">
            <w:pPr>
              <w:spacing w:before="240" w:after="120"/>
              <w:jc w:val="both"/>
              <w:rPr>
                <w:color w:val="000000"/>
                <w:sz w:val="26"/>
                <w:szCs w:val="26"/>
                <w:lang w:val="nl-NL"/>
              </w:rPr>
            </w:pPr>
          </w:p>
        </w:tc>
        <w:tc>
          <w:tcPr>
            <w:tcW w:w="2649" w:type="dxa"/>
            <w:vAlign w:val="center"/>
          </w:tcPr>
          <w:p w14:paraId="4C5F8A66" w14:textId="77777777" w:rsidR="00D62CE0" w:rsidRPr="00701114" w:rsidRDefault="00D62CE0" w:rsidP="0062446A">
            <w:pPr>
              <w:tabs>
                <w:tab w:val="num" w:pos="897"/>
              </w:tabs>
              <w:jc w:val="both"/>
              <w:rPr>
                <w:sz w:val="26"/>
                <w:szCs w:val="26"/>
              </w:rPr>
            </w:pPr>
          </w:p>
        </w:tc>
      </w:tr>
      <w:tr w:rsidR="00584E2A" w:rsidRPr="00D0182E" w14:paraId="074B53C8" w14:textId="77777777" w:rsidTr="0062446A">
        <w:trPr>
          <w:trHeight w:val="1265"/>
        </w:trPr>
        <w:tc>
          <w:tcPr>
            <w:tcW w:w="851" w:type="dxa"/>
            <w:vAlign w:val="center"/>
          </w:tcPr>
          <w:p w14:paraId="1727F911" w14:textId="77777777" w:rsidR="00FD0A20" w:rsidRPr="00701114" w:rsidRDefault="00FD0A20" w:rsidP="0062446A">
            <w:pPr>
              <w:numPr>
                <w:ilvl w:val="0"/>
                <w:numId w:val="26"/>
              </w:numPr>
              <w:jc w:val="center"/>
              <w:rPr>
                <w:sz w:val="26"/>
                <w:szCs w:val="26"/>
              </w:rPr>
            </w:pPr>
          </w:p>
        </w:tc>
        <w:tc>
          <w:tcPr>
            <w:tcW w:w="1687" w:type="dxa"/>
          </w:tcPr>
          <w:p w14:paraId="738AAD88" w14:textId="77777777" w:rsidR="00FD0A20" w:rsidRPr="00701114" w:rsidRDefault="00CD7DEC" w:rsidP="0062446A">
            <w:pPr>
              <w:jc w:val="center"/>
              <w:rPr>
                <w:sz w:val="26"/>
                <w:szCs w:val="26"/>
              </w:rPr>
            </w:pPr>
            <w:r>
              <w:rPr>
                <w:sz w:val="26"/>
                <w:szCs w:val="26"/>
              </w:rPr>
              <w:t>Khoản 9 Điều 15</w:t>
            </w:r>
          </w:p>
        </w:tc>
        <w:tc>
          <w:tcPr>
            <w:tcW w:w="4302" w:type="dxa"/>
            <w:vAlign w:val="center"/>
          </w:tcPr>
          <w:p w14:paraId="2A3028A1" w14:textId="77777777" w:rsidR="00FD0A20" w:rsidRPr="00701114" w:rsidRDefault="00CD7DEC" w:rsidP="00CD7DEC">
            <w:pPr>
              <w:tabs>
                <w:tab w:val="num" w:pos="897"/>
              </w:tabs>
              <w:jc w:val="center"/>
              <w:rPr>
                <w:color w:val="000000"/>
                <w:sz w:val="26"/>
                <w:szCs w:val="26"/>
                <w:lang w:eastAsia="x-none"/>
              </w:rPr>
            </w:pPr>
            <w:r>
              <w:rPr>
                <w:color w:val="000000"/>
                <w:sz w:val="26"/>
                <w:szCs w:val="26"/>
                <w:lang w:eastAsia="x-none"/>
              </w:rPr>
              <w:t>Chưa quy định</w:t>
            </w:r>
          </w:p>
        </w:tc>
        <w:tc>
          <w:tcPr>
            <w:tcW w:w="4828" w:type="dxa"/>
            <w:vAlign w:val="center"/>
          </w:tcPr>
          <w:p w14:paraId="14936376" w14:textId="77777777" w:rsidR="00CD7DEC" w:rsidRPr="00CD7DEC" w:rsidRDefault="00CD7DEC" w:rsidP="00CD7DEC">
            <w:pPr>
              <w:spacing w:before="240" w:after="120"/>
              <w:jc w:val="both"/>
              <w:rPr>
                <w:sz w:val="26"/>
                <w:szCs w:val="26"/>
                <w:u w:val="single"/>
                <w:lang w:val="nl-NL"/>
              </w:rPr>
            </w:pPr>
            <w:r w:rsidRPr="00CD7DEC">
              <w:rPr>
                <w:sz w:val="26"/>
                <w:szCs w:val="26"/>
                <w:u w:val="single"/>
                <w:lang w:val="nl-NL"/>
              </w:rPr>
              <w:t>9. Thực hiện chi trả cổ tức cho cổ đông theo quy định của pháp luật sau khi đã được Đại hội đồng cổ đông thường niên thông qua.</w:t>
            </w:r>
          </w:p>
          <w:p w14:paraId="755B5777" w14:textId="77777777" w:rsidR="00FD0A20" w:rsidRPr="00701114" w:rsidRDefault="00FD0A20" w:rsidP="0062446A">
            <w:pPr>
              <w:pStyle w:val="Heading3"/>
              <w:spacing w:before="0" w:after="0"/>
              <w:ind w:left="40"/>
              <w:jc w:val="both"/>
              <w:rPr>
                <w:rFonts w:ascii="Times New Roman" w:hAnsi="Times New Roman"/>
                <w:color w:val="000000"/>
                <w:lang w:val="nl-NL"/>
              </w:rPr>
            </w:pPr>
          </w:p>
        </w:tc>
        <w:tc>
          <w:tcPr>
            <w:tcW w:w="2649" w:type="dxa"/>
            <w:vAlign w:val="center"/>
          </w:tcPr>
          <w:p w14:paraId="4C3779E0" w14:textId="77777777" w:rsidR="00FD0A20" w:rsidRPr="00D0182E" w:rsidRDefault="00CD7DEC" w:rsidP="0062446A">
            <w:pPr>
              <w:tabs>
                <w:tab w:val="num" w:pos="897"/>
              </w:tabs>
              <w:jc w:val="both"/>
              <w:rPr>
                <w:sz w:val="26"/>
                <w:szCs w:val="26"/>
                <w:lang w:val="nl-NL"/>
              </w:rPr>
            </w:pPr>
            <w:r w:rsidRPr="00D0182E">
              <w:rPr>
                <w:sz w:val="26"/>
                <w:szCs w:val="26"/>
                <w:lang w:val="nl-NL"/>
              </w:rPr>
              <w:t>Bổ sung theo quy định mới tại Nghị định 245/2025/NĐ-CP</w:t>
            </w:r>
          </w:p>
        </w:tc>
      </w:tr>
      <w:tr w:rsidR="00584E2A" w:rsidRPr="00701114" w14:paraId="7AC6C10C" w14:textId="77777777" w:rsidTr="0062446A">
        <w:trPr>
          <w:trHeight w:val="1978"/>
        </w:trPr>
        <w:tc>
          <w:tcPr>
            <w:tcW w:w="851" w:type="dxa"/>
            <w:vAlign w:val="center"/>
          </w:tcPr>
          <w:p w14:paraId="6FD9C51E" w14:textId="77777777" w:rsidR="00827ADD" w:rsidRPr="00D0182E" w:rsidRDefault="00827ADD" w:rsidP="0062446A">
            <w:pPr>
              <w:numPr>
                <w:ilvl w:val="0"/>
                <w:numId w:val="26"/>
              </w:numPr>
              <w:jc w:val="center"/>
              <w:rPr>
                <w:sz w:val="26"/>
                <w:szCs w:val="26"/>
                <w:lang w:val="nl-NL"/>
              </w:rPr>
            </w:pPr>
          </w:p>
        </w:tc>
        <w:tc>
          <w:tcPr>
            <w:tcW w:w="1687" w:type="dxa"/>
          </w:tcPr>
          <w:p w14:paraId="106C0936" w14:textId="77777777" w:rsidR="00827ADD" w:rsidRPr="00701114" w:rsidRDefault="00403685" w:rsidP="0062446A">
            <w:pPr>
              <w:jc w:val="center"/>
              <w:rPr>
                <w:sz w:val="26"/>
                <w:szCs w:val="26"/>
              </w:rPr>
            </w:pPr>
            <w:r>
              <w:rPr>
                <w:sz w:val="26"/>
                <w:szCs w:val="26"/>
              </w:rPr>
              <w:t>Khoản 1 Điều 17</w:t>
            </w:r>
          </w:p>
        </w:tc>
        <w:tc>
          <w:tcPr>
            <w:tcW w:w="4302" w:type="dxa"/>
            <w:vAlign w:val="center"/>
          </w:tcPr>
          <w:p w14:paraId="1BAA1318" w14:textId="77777777" w:rsidR="00827ADD" w:rsidRPr="00701114" w:rsidRDefault="00403685" w:rsidP="0062446A">
            <w:pPr>
              <w:tabs>
                <w:tab w:val="num" w:pos="897"/>
              </w:tabs>
              <w:jc w:val="both"/>
              <w:rPr>
                <w:color w:val="000000"/>
                <w:sz w:val="26"/>
                <w:szCs w:val="26"/>
                <w:lang w:eastAsia="x-none"/>
              </w:rPr>
            </w:pPr>
            <w:r w:rsidRPr="00CE7D1C">
              <w:rPr>
                <w:sz w:val="26"/>
                <w:szCs w:val="26"/>
              </w:rPr>
              <w:t xml:space="preserve">1.  Tổng công ty có quyền trả thù lao, thưởng cho thành viên Hội đồng quản trị theo kết quả và hiệu </w:t>
            </w:r>
            <w:r w:rsidRPr="00E16D68">
              <w:rPr>
                <w:sz w:val="26"/>
                <w:szCs w:val="26"/>
              </w:rPr>
              <w:t>quả kinh doanh</w:t>
            </w:r>
          </w:p>
        </w:tc>
        <w:tc>
          <w:tcPr>
            <w:tcW w:w="4828" w:type="dxa"/>
            <w:vAlign w:val="center"/>
          </w:tcPr>
          <w:p w14:paraId="66AB3537" w14:textId="77777777" w:rsidR="00403685" w:rsidRPr="00403685" w:rsidRDefault="00403685" w:rsidP="00403685">
            <w:pPr>
              <w:spacing w:after="120"/>
              <w:jc w:val="both"/>
              <w:rPr>
                <w:sz w:val="26"/>
                <w:szCs w:val="26"/>
                <w:u w:val="single"/>
              </w:rPr>
            </w:pPr>
            <w:r w:rsidRPr="00CE7D1C">
              <w:rPr>
                <w:sz w:val="26"/>
                <w:szCs w:val="26"/>
              </w:rPr>
              <w:t xml:space="preserve">1.  Tổng công ty có quyền trả thù lao, thưởng cho thành viên Hội đồng quản trị theo kết quả và hiệu </w:t>
            </w:r>
            <w:r w:rsidRPr="00E16D68">
              <w:rPr>
                <w:sz w:val="26"/>
                <w:szCs w:val="26"/>
              </w:rPr>
              <w:t xml:space="preserve">quả kinh doanh </w:t>
            </w:r>
            <w:r w:rsidRPr="00403685">
              <w:rPr>
                <w:sz w:val="26"/>
                <w:szCs w:val="26"/>
                <w:u w:val="single"/>
              </w:rPr>
              <w:t>và căn cứ theo quy chế phân phối tiền lương tiền thưởng của Tổng công ty.</w:t>
            </w:r>
          </w:p>
          <w:p w14:paraId="51257358" w14:textId="77777777" w:rsidR="00827ADD" w:rsidRPr="00701114" w:rsidRDefault="00827ADD" w:rsidP="0062446A">
            <w:pPr>
              <w:ind w:firstLine="720"/>
              <w:jc w:val="both"/>
              <w:rPr>
                <w:sz w:val="26"/>
                <w:szCs w:val="26"/>
              </w:rPr>
            </w:pPr>
          </w:p>
        </w:tc>
        <w:tc>
          <w:tcPr>
            <w:tcW w:w="2649" w:type="dxa"/>
            <w:vAlign w:val="center"/>
          </w:tcPr>
          <w:p w14:paraId="24C6D42E" w14:textId="77777777" w:rsidR="00827ADD" w:rsidRPr="00701114" w:rsidRDefault="00403685" w:rsidP="0062446A">
            <w:pPr>
              <w:tabs>
                <w:tab w:val="num" w:pos="897"/>
              </w:tabs>
              <w:jc w:val="both"/>
              <w:rPr>
                <w:sz w:val="26"/>
                <w:szCs w:val="26"/>
              </w:rPr>
            </w:pPr>
            <w:r w:rsidRPr="00701114">
              <w:rPr>
                <w:color w:val="000000"/>
                <w:sz w:val="26"/>
                <w:szCs w:val="26"/>
                <w:lang w:val="nl-NL"/>
              </w:rPr>
              <w:t>Bổ sung để phù hợp với thực tiễn đang triển khai tại PJICO</w:t>
            </w:r>
          </w:p>
        </w:tc>
      </w:tr>
      <w:tr w:rsidR="00C85720" w:rsidRPr="00D0182E" w14:paraId="5243C524" w14:textId="77777777" w:rsidTr="0062446A">
        <w:trPr>
          <w:trHeight w:val="1732"/>
        </w:trPr>
        <w:tc>
          <w:tcPr>
            <w:tcW w:w="851" w:type="dxa"/>
            <w:vAlign w:val="center"/>
          </w:tcPr>
          <w:p w14:paraId="35E8EF7B" w14:textId="77777777" w:rsidR="00827ADD" w:rsidRPr="00701114" w:rsidRDefault="00827ADD" w:rsidP="0062446A">
            <w:pPr>
              <w:numPr>
                <w:ilvl w:val="0"/>
                <w:numId w:val="26"/>
              </w:numPr>
              <w:jc w:val="center"/>
              <w:rPr>
                <w:sz w:val="26"/>
                <w:szCs w:val="26"/>
              </w:rPr>
            </w:pPr>
          </w:p>
        </w:tc>
        <w:tc>
          <w:tcPr>
            <w:tcW w:w="1687" w:type="dxa"/>
          </w:tcPr>
          <w:p w14:paraId="443820EB" w14:textId="77777777" w:rsidR="00827ADD" w:rsidRPr="00701114" w:rsidRDefault="00403685" w:rsidP="0062446A">
            <w:pPr>
              <w:jc w:val="center"/>
              <w:rPr>
                <w:sz w:val="26"/>
                <w:szCs w:val="26"/>
              </w:rPr>
            </w:pPr>
            <w:r>
              <w:rPr>
                <w:sz w:val="26"/>
                <w:szCs w:val="26"/>
              </w:rPr>
              <w:t>Khoản 1 Điều 18</w:t>
            </w:r>
          </w:p>
        </w:tc>
        <w:tc>
          <w:tcPr>
            <w:tcW w:w="4302" w:type="dxa"/>
            <w:vAlign w:val="center"/>
          </w:tcPr>
          <w:p w14:paraId="3853AC0A" w14:textId="77777777" w:rsidR="00AF5F03" w:rsidRPr="00AF5F03" w:rsidRDefault="00AF5F03" w:rsidP="00AF5F03">
            <w:pPr>
              <w:spacing w:after="120"/>
              <w:jc w:val="both"/>
              <w:rPr>
                <w:b/>
                <w:sz w:val="26"/>
                <w:szCs w:val="26"/>
                <w:lang w:val="nl-NL"/>
              </w:rPr>
            </w:pPr>
            <w:r w:rsidRPr="00CE7D1C">
              <w:rPr>
                <w:b/>
                <w:sz w:val="26"/>
                <w:szCs w:val="26"/>
                <w:lang w:val="nl-NL"/>
              </w:rPr>
              <w:t>Điều 18. Các ban của Hội đồng quản trị</w:t>
            </w:r>
          </w:p>
          <w:p w14:paraId="7CFBDF36" w14:textId="77777777" w:rsidR="00403685" w:rsidRPr="00CE7D1C" w:rsidRDefault="00403685" w:rsidP="00403685">
            <w:pPr>
              <w:spacing w:after="120"/>
              <w:jc w:val="both"/>
              <w:rPr>
                <w:sz w:val="26"/>
                <w:szCs w:val="26"/>
                <w:lang w:val="nl-NL"/>
              </w:rPr>
            </w:pPr>
            <w:r w:rsidRPr="00CE7D1C">
              <w:rPr>
                <w:sz w:val="26"/>
                <w:szCs w:val="26"/>
                <w:lang w:val="nl-NL"/>
              </w:rPr>
              <w:t>1. Hội đồng quản trị cần thành lập các</w:t>
            </w:r>
            <w:r>
              <w:rPr>
                <w:sz w:val="26"/>
                <w:szCs w:val="26"/>
                <w:lang w:val="nl-NL"/>
              </w:rPr>
              <w:t xml:space="preserve"> </w:t>
            </w:r>
            <w:r w:rsidRPr="00AF5F03">
              <w:rPr>
                <w:strike/>
                <w:sz w:val="26"/>
                <w:szCs w:val="26"/>
                <w:lang w:val="nl-NL"/>
              </w:rPr>
              <w:t>tiểu</w:t>
            </w:r>
            <w:r w:rsidRPr="00CE7D1C">
              <w:rPr>
                <w:sz w:val="26"/>
                <w:szCs w:val="26"/>
                <w:lang w:val="nl-NL"/>
              </w:rPr>
              <w:t xml:space="preserve"> ban để hỗ trợ hoạt động của Hội đồng quản trị, tuỳ từng giai đoạn phát triển của Tổng công ty, ngoài các ban hiện có như : Ban Tổng hợp  Hội đồng quản trị, Ban kiểm toán nội bộ thì Hội đồng quản trị có thể thành lập thêm các ban như: Ban chính sách phát triển, Ban nhân sự, Ban Lương thưởng và các ban đặc biệt theo Nghị quyết của Đại hội đồng cổ đông.</w:t>
            </w:r>
          </w:p>
          <w:p w14:paraId="65AF03D1" w14:textId="77777777" w:rsidR="00827ADD" w:rsidRPr="00D0182E" w:rsidRDefault="00827ADD" w:rsidP="0062446A">
            <w:pPr>
              <w:tabs>
                <w:tab w:val="num" w:pos="897"/>
              </w:tabs>
              <w:jc w:val="both"/>
              <w:rPr>
                <w:color w:val="000000"/>
                <w:sz w:val="26"/>
                <w:szCs w:val="26"/>
                <w:lang w:val="nl-NL" w:eastAsia="x-none"/>
              </w:rPr>
            </w:pPr>
          </w:p>
        </w:tc>
        <w:tc>
          <w:tcPr>
            <w:tcW w:w="4828" w:type="dxa"/>
            <w:vAlign w:val="center"/>
          </w:tcPr>
          <w:p w14:paraId="063243AB" w14:textId="77777777" w:rsidR="00AF5F03" w:rsidRPr="00AF5F03" w:rsidRDefault="00AF5F03" w:rsidP="00AF5F03">
            <w:pPr>
              <w:spacing w:after="120"/>
              <w:jc w:val="both"/>
              <w:rPr>
                <w:b/>
                <w:sz w:val="26"/>
                <w:szCs w:val="26"/>
                <w:lang w:val="nl-NL"/>
              </w:rPr>
            </w:pPr>
            <w:r w:rsidRPr="00CE7D1C">
              <w:rPr>
                <w:b/>
                <w:sz w:val="26"/>
                <w:szCs w:val="26"/>
                <w:lang w:val="nl-NL"/>
              </w:rPr>
              <w:t>Điều 18. Các ban của Hội đồng quản trị</w:t>
            </w:r>
          </w:p>
          <w:p w14:paraId="515AA953" w14:textId="77777777" w:rsidR="00403685" w:rsidRPr="00CE7D1C" w:rsidRDefault="00403685" w:rsidP="00403685">
            <w:pPr>
              <w:spacing w:after="120"/>
              <w:jc w:val="both"/>
              <w:rPr>
                <w:sz w:val="26"/>
                <w:szCs w:val="26"/>
                <w:lang w:val="nl-NL"/>
              </w:rPr>
            </w:pPr>
            <w:r w:rsidRPr="00CE7D1C">
              <w:rPr>
                <w:sz w:val="26"/>
                <w:szCs w:val="26"/>
                <w:lang w:val="nl-NL"/>
              </w:rPr>
              <w:t>1. Hội đồng quản trị cần thành lập các ban để hỗ trợ hoạt động của Hội đồng quản trị, tuỳ từng giai đoạn phát triển của Tổng công ty, ngoài các ban hiện có như : Ban Tổng hợp  Hội đồng quản trị, Ban kiểm toán nội bộ thì Hội đồng quản trị có thể thành lập thêm các ban như: Ban chính sách phát triển, Ban nhân sự, Ban Lương thưởng và các ban đặc biệt theo Nghị quyết của Đại hội đồng cổ đông.</w:t>
            </w:r>
          </w:p>
          <w:p w14:paraId="1E1EA374" w14:textId="77777777" w:rsidR="00827ADD" w:rsidRPr="00D0182E" w:rsidRDefault="00827ADD" w:rsidP="0062446A">
            <w:pPr>
              <w:ind w:firstLine="720"/>
              <w:jc w:val="both"/>
              <w:rPr>
                <w:sz w:val="26"/>
                <w:szCs w:val="26"/>
                <w:lang w:val="nl-NL"/>
              </w:rPr>
            </w:pPr>
          </w:p>
        </w:tc>
        <w:tc>
          <w:tcPr>
            <w:tcW w:w="2649" w:type="dxa"/>
            <w:vAlign w:val="center"/>
          </w:tcPr>
          <w:p w14:paraId="18716BDD" w14:textId="77777777" w:rsidR="00827ADD" w:rsidRPr="00D0182E" w:rsidRDefault="00AF5F03" w:rsidP="0062446A">
            <w:pPr>
              <w:tabs>
                <w:tab w:val="num" w:pos="897"/>
              </w:tabs>
              <w:jc w:val="both"/>
              <w:rPr>
                <w:sz w:val="26"/>
                <w:szCs w:val="26"/>
                <w:lang w:val="nl-NL"/>
              </w:rPr>
            </w:pPr>
            <w:r w:rsidRPr="00D0182E">
              <w:rPr>
                <w:sz w:val="26"/>
                <w:szCs w:val="26"/>
                <w:lang w:val="nl-NL"/>
              </w:rPr>
              <w:t>Hiệu chỉnh để phù hợp với tên điều khoản</w:t>
            </w:r>
          </w:p>
        </w:tc>
      </w:tr>
      <w:tr w:rsidR="00AF5F03" w:rsidRPr="00701114" w14:paraId="5B314965" w14:textId="77777777" w:rsidTr="0062446A">
        <w:trPr>
          <w:trHeight w:val="1732"/>
        </w:trPr>
        <w:tc>
          <w:tcPr>
            <w:tcW w:w="851" w:type="dxa"/>
            <w:vAlign w:val="center"/>
          </w:tcPr>
          <w:p w14:paraId="0CEED757" w14:textId="77777777" w:rsidR="00AF5F03" w:rsidRPr="00D0182E" w:rsidRDefault="00AF5F03" w:rsidP="0062446A">
            <w:pPr>
              <w:numPr>
                <w:ilvl w:val="0"/>
                <w:numId w:val="26"/>
              </w:numPr>
              <w:jc w:val="center"/>
              <w:rPr>
                <w:sz w:val="26"/>
                <w:szCs w:val="26"/>
                <w:lang w:val="nl-NL"/>
              </w:rPr>
            </w:pPr>
          </w:p>
        </w:tc>
        <w:tc>
          <w:tcPr>
            <w:tcW w:w="1687" w:type="dxa"/>
          </w:tcPr>
          <w:p w14:paraId="41C7CF3D" w14:textId="77777777" w:rsidR="00AF5F03" w:rsidRPr="00D0182E" w:rsidRDefault="00AF5F03" w:rsidP="0062446A">
            <w:pPr>
              <w:jc w:val="center"/>
              <w:rPr>
                <w:sz w:val="26"/>
                <w:szCs w:val="26"/>
                <w:lang w:val="nl-NL"/>
              </w:rPr>
            </w:pPr>
            <w:r w:rsidRPr="00D0182E">
              <w:rPr>
                <w:sz w:val="26"/>
                <w:szCs w:val="26"/>
                <w:lang w:val="nl-NL"/>
              </w:rPr>
              <w:t>Chương IV (từ Điều 19 đến Điều 23)</w:t>
            </w:r>
          </w:p>
        </w:tc>
        <w:tc>
          <w:tcPr>
            <w:tcW w:w="4302" w:type="dxa"/>
            <w:vAlign w:val="center"/>
          </w:tcPr>
          <w:p w14:paraId="29663E90" w14:textId="77777777" w:rsidR="00AF5F03" w:rsidRPr="00AF5F03" w:rsidRDefault="00AF5F03" w:rsidP="00AF5F03">
            <w:pPr>
              <w:widowControl w:val="0"/>
              <w:jc w:val="center"/>
              <w:rPr>
                <w:b/>
                <w:strike/>
                <w:sz w:val="26"/>
                <w:szCs w:val="26"/>
                <w:lang w:val="nl-NL"/>
              </w:rPr>
            </w:pPr>
            <w:r w:rsidRPr="00AF5F03">
              <w:rPr>
                <w:b/>
                <w:strike/>
                <w:sz w:val="26"/>
                <w:szCs w:val="26"/>
                <w:lang w:val="nl-NL"/>
              </w:rPr>
              <w:t>CHƯƠNG IV</w:t>
            </w:r>
          </w:p>
          <w:p w14:paraId="527AE743" w14:textId="77777777" w:rsidR="00AF5F03" w:rsidRPr="00D0182E" w:rsidRDefault="00AF5F03" w:rsidP="00AF5F03">
            <w:pPr>
              <w:jc w:val="center"/>
              <w:rPr>
                <w:b/>
                <w:bCs/>
                <w:strike/>
                <w:sz w:val="26"/>
                <w:szCs w:val="26"/>
                <w:lang w:val="nl-NL"/>
              </w:rPr>
            </w:pPr>
            <w:r w:rsidRPr="00D0182E">
              <w:rPr>
                <w:b/>
                <w:bCs/>
                <w:strike/>
                <w:sz w:val="26"/>
                <w:szCs w:val="26"/>
                <w:lang w:val="nl-NL"/>
              </w:rPr>
              <w:t>ỦY BAN KIỂM TOÁN TRỰC THUỘC HỘI ĐỒNG QUẢN TRỊ</w:t>
            </w:r>
          </w:p>
          <w:p w14:paraId="5006E415" w14:textId="77777777" w:rsidR="00AF5F03" w:rsidRPr="00D0182E" w:rsidRDefault="00AF5F03" w:rsidP="00AF5F03">
            <w:pPr>
              <w:spacing w:after="120"/>
              <w:jc w:val="both"/>
              <w:rPr>
                <w:strike/>
                <w:sz w:val="26"/>
                <w:szCs w:val="26"/>
                <w:lang w:val="nl-NL"/>
              </w:rPr>
            </w:pPr>
            <w:r w:rsidRPr="00D0182E">
              <w:rPr>
                <w:b/>
                <w:bCs/>
                <w:strike/>
                <w:sz w:val="26"/>
                <w:szCs w:val="26"/>
                <w:lang w:val="nl-NL"/>
              </w:rPr>
              <w:t>Điều 19. Ứng cử, đề cử thành viên Ủy ban kiểm toán</w:t>
            </w:r>
          </w:p>
          <w:p w14:paraId="3368E54D" w14:textId="77777777" w:rsidR="00AF5F03" w:rsidRPr="00D0182E" w:rsidRDefault="00AF5F03" w:rsidP="00AF5F03">
            <w:pPr>
              <w:spacing w:after="120"/>
              <w:jc w:val="both"/>
              <w:rPr>
                <w:strike/>
                <w:sz w:val="26"/>
                <w:szCs w:val="26"/>
                <w:lang w:val="nl-NL"/>
              </w:rPr>
            </w:pPr>
            <w:r w:rsidRPr="00D0182E">
              <w:rPr>
                <w:strike/>
                <w:sz w:val="26"/>
                <w:szCs w:val="26"/>
                <w:lang w:val="nl-NL"/>
              </w:rPr>
              <w:t>1. Chủ tịch Ủy ban kiểm toán và các thành viên khác của Ủy ban kiểm toán do Hội đồng quản trị đề cử và không phải là người điều hành Tổng công ty.</w:t>
            </w:r>
          </w:p>
          <w:p w14:paraId="5A31957C" w14:textId="77777777" w:rsidR="00AF5F03" w:rsidRPr="00D0182E" w:rsidRDefault="00AF5F03" w:rsidP="00AF5F03">
            <w:pPr>
              <w:spacing w:after="120"/>
              <w:jc w:val="both"/>
              <w:rPr>
                <w:strike/>
                <w:sz w:val="26"/>
                <w:szCs w:val="26"/>
                <w:lang w:val="nl-NL"/>
              </w:rPr>
            </w:pPr>
            <w:r w:rsidRPr="00D0182E">
              <w:rPr>
                <w:strike/>
                <w:sz w:val="26"/>
                <w:szCs w:val="26"/>
                <w:lang w:val="nl-NL"/>
              </w:rPr>
              <w:t>2. Việc bổ nhiệm Chủ tịch Ủy ban kiểm toán và các thành viên khác trong Ủy ban kiểm toán phải được Hội đồng quản trị thông qua tại cuộc họp Hội đồng quản trị.</w:t>
            </w:r>
          </w:p>
          <w:p w14:paraId="3B40A012" w14:textId="77777777" w:rsidR="00AF5F03" w:rsidRPr="00D0182E" w:rsidRDefault="00AF5F03" w:rsidP="00AF5F03">
            <w:pPr>
              <w:spacing w:after="120"/>
              <w:jc w:val="both"/>
              <w:rPr>
                <w:strike/>
                <w:sz w:val="26"/>
                <w:szCs w:val="26"/>
                <w:lang w:val="nl-NL"/>
              </w:rPr>
            </w:pPr>
            <w:r w:rsidRPr="00D0182E">
              <w:rPr>
                <w:b/>
                <w:bCs/>
                <w:strike/>
                <w:sz w:val="26"/>
                <w:szCs w:val="26"/>
                <w:lang w:val="nl-NL"/>
              </w:rPr>
              <w:t>Điều 20. Thành phần Ủy ban Kiểm toán</w:t>
            </w:r>
          </w:p>
          <w:p w14:paraId="3949AD34" w14:textId="77777777" w:rsidR="00AF5F03" w:rsidRPr="00D0182E" w:rsidRDefault="00AF5F03" w:rsidP="00AF5F03">
            <w:pPr>
              <w:spacing w:after="120"/>
              <w:jc w:val="both"/>
              <w:rPr>
                <w:strike/>
                <w:sz w:val="26"/>
                <w:szCs w:val="26"/>
                <w:lang w:val="nl-NL"/>
              </w:rPr>
            </w:pPr>
            <w:r w:rsidRPr="00D0182E">
              <w:rPr>
                <w:strike/>
                <w:sz w:val="26"/>
                <w:szCs w:val="26"/>
                <w:lang w:val="nl-NL"/>
              </w:rPr>
              <w:t>1. Ủy ban kiểm toán có từ hai (02) thành viên trở lên. Chủ tịch Ủy ban kiểm toán phải là thành viên độc lập Hội đồng quản trị. Các thành viên khác của Ủy ban kiểm toán phải là các thành viên Hội đồng quản trị không điều hành.</w:t>
            </w:r>
          </w:p>
          <w:p w14:paraId="5A86757C" w14:textId="77777777" w:rsidR="00AF5F03" w:rsidRPr="00AF5F03" w:rsidRDefault="00AF5F03" w:rsidP="00AF5F03">
            <w:pPr>
              <w:spacing w:after="120"/>
              <w:jc w:val="both"/>
              <w:rPr>
                <w:strike/>
                <w:sz w:val="26"/>
                <w:szCs w:val="26"/>
              </w:rPr>
            </w:pPr>
            <w:r w:rsidRPr="00AF5F03">
              <w:rPr>
                <w:strike/>
                <w:sz w:val="26"/>
                <w:szCs w:val="26"/>
              </w:rPr>
              <w:t>2. Thành viên Ủy ban kiểm toán phải có kiến thức về kế toán, kiểm toán, có hiểu biết chung về pháp luật và hoạt động của Tổng công ty và không thuộc các trường hợp sau:</w:t>
            </w:r>
          </w:p>
          <w:p w14:paraId="73560ED4" w14:textId="77777777" w:rsidR="00AF5F03" w:rsidRPr="00AF5F03" w:rsidRDefault="00AF5F03" w:rsidP="00AF5F03">
            <w:pPr>
              <w:spacing w:after="120"/>
              <w:jc w:val="both"/>
              <w:rPr>
                <w:strike/>
                <w:sz w:val="26"/>
                <w:szCs w:val="26"/>
              </w:rPr>
            </w:pPr>
            <w:r w:rsidRPr="00AF5F03">
              <w:rPr>
                <w:strike/>
                <w:sz w:val="26"/>
                <w:szCs w:val="26"/>
              </w:rPr>
              <w:t>a) Làm việc trong bộ phận kế toán, tài chính của Tổng công ty;</w:t>
            </w:r>
          </w:p>
          <w:p w14:paraId="4783D3BA" w14:textId="77777777" w:rsidR="00AF5F03" w:rsidRPr="00AF5F03" w:rsidRDefault="00AF5F03" w:rsidP="00AF5F03">
            <w:pPr>
              <w:spacing w:after="120"/>
              <w:jc w:val="both"/>
              <w:rPr>
                <w:strike/>
                <w:sz w:val="26"/>
                <w:szCs w:val="26"/>
              </w:rPr>
            </w:pPr>
            <w:r w:rsidRPr="00AF5F03">
              <w:rPr>
                <w:strike/>
                <w:sz w:val="26"/>
                <w:szCs w:val="26"/>
              </w:rPr>
              <w:t xml:space="preserve">b) Là thành viên hay nhân viên của tổ chức kiểm toán được chấp thuận thực </w:t>
            </w:r>
            <w:r w:rsidRPr="00AF5F03">
              <w:rPr>
                <w:strike/>
                <w:sz w:val="26"/>
                <w:szCs w:val="26"/>
              </w:rPr>
              <w:lastRenderedPageBreak/>
              <w:t>hiện kiểm toán các báo cáo tài chính của Tổng công ty trong 03 năm liền trước đó.</w:t>
            </w:r>
          </w:p>
          <w:p w14:paraId="275E5206" w14:textId="77777777" w:rsidR="00AF5F03" w:rsidRPr="00AF5F03" w:rsidRDefault="00AF5F03" w:rsidP="00AF5F03">
            <w:pPr>
              <w:spacing w:after="120"/>
              <w:jc w:val="both"/>
              <w:rPr>
                <w:strike/>
                <w:sz w:val="26"/>
                <w:szCs w:val="26"/>
              </w:rPr>
            </w:pPr>
            <w:r w:rsidRPr="00AF5F03">
              <w:rPr>
                <w:strike/>
                <w:sz w:val="26"/>
                <w:szCs w:val="26"/>
              </w:rPr>
              <w:t>3. Chủ tịch Ủy ban kiểm toán phải có bằng tốt nghiệp đại học trở lên thuộc một trong các chuyên ngành kinh tế, tài chính, kế toán, kiểm toán, luật, quản trị kinh doanh.</w:t>
            </w:r>
          </w:p>
          <w:p w14:paraId="687D86A5" w14:textId="77777777" w:rsidR="00AF5F03" w:rsidRPr="00AF5F03" w:rsidRDefault="00AF5F03" w:rsidP="00AF5F03">
            <w:pPr>
              <w:spacing w:after="120"/>
              <w:jc w:val="both"/>
              <w:rPr>
                <w:strike/>
                <w:sz w:val="26"/>
                <w:szCs w:val="26"/>
              </w:rPr>
            </w:pPr>
            <w:r w:rsidRPr="00AF5F03">
              <w:rPr>
                <w:b/>
                <w:bCs/>
                <w:strike/>
                <w:sz w:val="26"/>
                <w:szCs w:val="26"/>
              </w:rPr>
              <w:t>Điều 21. Quyền và nghĩa vụ của Ủy ban kiểm toán</w:t>
            </w:r>
          </w:p>
          <w:p w14:paraId="32A3594F" w14:textId="77777777" w:rsidR="00AF5F03" w:rsidRPr="00AF5F03" w:rsidRDefault="00AF5F03" w:rsidP="00AF5F03">
            <w:pPr>
              <w:spacing w:after="120"/>
              <w:jc w:val="both"/>
              <w:rPr>
                <w:strike/>
                <w:sz w:val="26"/>
                <w:szCs w:val="26"/>
              </w:rPr>
            </w:pPr>
            <w:r w:rsidRPr="00AF5F03">
              <w:rPr>
                <w:strike/>
                <w:sz w:val="26"/>
                <w:szCs w:val="26"/>
              </w:rPr>
              <w:t>Ủy ban kiểm toán có các quyền, nghĩa vụ theo quy định tại Điều 161 Luật Doanh nghiệp, Điều lệ Tổng công ty và các quyền, nghĩa vụ sau:</w:t>
            </w:r>
          </w:p>
          <w:p w14:paraId="3FA5FEB8" w14:textId="77777777" w:rsidR="00AF5F03" w:rsidRPr="00AF5F03" w:rsidRDefault="00AF5F03" w:rsidP="00AF5F03">
            <w:pPr>
              <w:spacing w:after="120"/>
              <w:jc w:val="both"/>
              <w:rPr>
                <w:strike/>
                <w:sz w:val="26"/>
                <w:szCs w:val="26"/>
              </w:rPr>
            </w:pPr>
            <w:r w:rsidRPr="00AF5F03">
              <w:rPr>
                <w:strike/>
                <w:sz w:val="26"/>
                <w:szCs w:val="26"/>
              </w:rPr>
              <w:t>1. Được quyền tiếp cận các tài liệu liên quan đến tình hình hoạt động của Tổng công ty, trao đổi với các thành viên Hội đồng quản trị khác, Tổng giám đốc, Kế toán trưởng và cán bộ quản lý khác để thu thập thông tin phục vụ hoạt động của Ủy ban kiểm toán.</w:t>
            </w:r>
          </w:p>
          <w:p w14:paraId="5E29BC92" w14:textId="77777777" w:rsidR="00AF5F03" w:rsidRPr="00AF5F03" w:rsidRDefault="00AF5F03" w:rsidP="00AF5F03">
            <w:pPr>
              <w:spacing w:after="120"/>
              <w:jc w:val="both"/>
              <w:rPr>
                <w:strike/>
                <w:sz w:val="26"/>
                <w:szCs w:val="26"/>
              </w:rPr>
            </w:pPr>
            <w:r w:rsidRPr="00AF5F03">
              <w:rPr>
                <w:strike/>
                <w:sz w:val="26"/>
                <w:szCs w:val="26"/>
              </w:rPr>
              <w:t>2. Có quyền yêu cầu đại diện tổ chức kiểm toán được chấp thuận tham dự và trả lời các vấn đề liên quan báo cáo tài chính kiểm toán tại các cuộc họp của Ủy ban kiểm toán.</w:t>
            </w:r>
          </w:p>
          <w:p w14:paraId="0234242E" w14:textId="77777777" w:rsidR="00AF5F03" w:rsidRPr="00AF5F03" w:rsidRDefault="00AF5F03" w:rsidP="00AF5F03">
            <w:pPr>
              <w:spacing w:after="120"/>
              <w:jc w:val="both"/>
              <w:rPr>
                <w:strike/>
                <w:sz w:val="26"/>
                <w:szCs w:val="26"/>
              </w:rPr>
            </w:pPr>
            <w:r w:rsidRPr="00AF5F03">
              <w:rPr>
                <w:strike/>
                <w:sz w:val="26"/>
                <w:szCs w:val="26"/>
              </w:rPr>
              <w:t>3. Sử dụng dịch vụ tư vấn pháp luật, kế toán hoặc các tư vấn khác bên ngoài khi cần thiết.</w:t>
            </w:r>
          </w:p>
          <w:p w14:paraId="255CA4D8" w14:textId="77777777" w:rsidR="00AF5F03" w:rsidRPr="00AF5F03" w:rsidRDefault="00AF5F03" w:rsidP="00AF5F03">
            <w:pPr>
              <w:spacing w:after="120"/>
              <w:jc w:val="both"/>
              <w:rPr>
                <w:strike/>
                <w:sz w:val="26"/>
                <w:szCs w:val="26"/>
              </w:rPr>
            </w:pPr>
            <w:r w:rsidRPr="00AF5F03">
              <w:rPr>
                <w:strike/>
                <w:sz w:val="26"/>
                <w:szCs w:val="26"/>
              </w:rPr>
              <w:t xml:space="preserve">4. Xây dựng và trình Hội đồng quản trị các chính sách phát hiện và quản lý rủi ro; đề xuất với Hội đồng quản trị các </w:t>
            </w:r>
            <w:r w:rsidRPr="00AF5F03">
              <w:rPr>
                <w:strike/>
                <w:sz w:val="26"/>
                <w:szCs w:val="26"/>
              </w:rPr>
              <w:lastRenderedPageBreak/>
              <w:t>giải pháp xử lý rủi ro phát sinh trong hoạt động của Tổng công ty.</w:t>
            </w:r>
          </w:p>
          <w:p w14:paraId="6E2CCBC8" w14:textId="77777777" w:rsidR="00AF5F03" w:rsidRPr="00AF5F03" w:rsidRDefault="00AF5F03" w:rsidP="00AF5F03">
            <w:pPr>
              <w:spacing w:after="120"/>
              <w:jc w:val="both"/>
              <w:rPr>
                <w:strike/>
                <w:sz w:val="26"/>
                <w:szCs w:val="26"/>
              </w:rPr>
            </w:pPr>
            <w:r w:rsidRPr="00AF5F03">
              <w:rPr>
                <w:strike/>
                <w:sz w:val="26"/>
                <w:szCs w:val="26"/>
              </w:rPr>
              <w:t>5. Lập báo cáo bằng văn bản gửi đến Hội đồng quản trị khi phát hiện thành viên Hội đồng quản trị, Tổng giám đốc và người quản lý khác không thực hiện đầy đủ trách nhiệm theo quy định tại Luật Doanh nghiệp và Điều lệ Tổng công ty.</w:t>
            </w:r>
          </w:p>
          <w:p w14:paraId="4792BC47" w14:textId="77777777" w:rsidR="00AF5F03" w:rsidRPr="00AF5F03" w:rsidRDefault="00AF5F03" w:rsidP="00AF5F03">
            <w:pPr>
              <w:spacing w:after="120"/>
              <w:jc w:val="both"/>
              <w:rPr>
                <w:strike/>
                <w:sz w:val="26"/>
                <w:szCs w:val="26"/>
              </w:rPr>
            </w:pPr>
            <w:r w:rsidRPr="00AF5F03">
              <w:rPr>
                <w:strike/>
                <w:sz w:val="26"/>
                <w:szCs w:val="26"/>
              </w:rPr>
              <w:t>6. Xây dựng Quy chế hoạt động của Uỷ ban kiểm toán và trình Hội đồng quản trị thông qua.</w:t>
            </w:r>
          </w:p>
          <w:p w14:paraId="634DDD1D" w14:textId="77777777" w:rsidR="00AF5F03" w:rsidRPr="00AF5F03" w:rsidRDefault="00AF5F03" w:rsidP="00AF5F03">
            <w:pPr>
              <w:spacing w:after="120"/>
              <w:jc w:val="both"/>
              <w:rPr>
                <w:strike/>
                <w:sz w:val="26"/>
                <w:szCs w:val="26"/>
              </w:rPr>
            </w:pPr>
            <w:r w:rsidRPr="00AF5F03">
              <w:rPr>
                <w:b/>
                <w:bCs/>
                <w:strike/>
                <w:sz w:val="26"/>
                <w:szCs w:val="26"/>
              </w:rPr>
              <w:t>Điều 22. Cuộc họp của Ủy ban kiểm toán</w:t>
            </w:r>
          </w:p>
          <w:p w14:paraId="3D287BE6" w14:textId="77777777" w:rsidR="00AF5F03" w:rsidRPr="00AF5F03" w:rsidRDefault="00AF5F03" w:rsidP="00AF5F03">
            <w:pPr>
              <w:spacing w:after="120"/>
              <w:jc w:val="both"/>
              <w:rPr>
                <w:strike/>
                <w:sz w:val="26"/>
                <w:szCs w:val="26"/>
              </w:rPr>
            </w:pPr>
            <w:r w:rsidRPr="00AF5F03">
              <w:rPr>
                <w:strike/>
                <w:sz w:val="26"/>
                <w:szCs w:val="26"/>
              </w:rPr>
              <w:t>1. Ủy ban kiểm toán phải họp ít nhất hai (02) lần trong một năm. Biên bản họp được lập chi tiết, rõ ràng và phải được lưu giữ đầy đủ. Người ghi biên bản và các thành viên Ủy ban kiểm toán tham dự họp phải ký tên vào biên bản cuộc họp.</w:t>
            </w:r>
          </w:p>
          <w:p w14:paraId="552602A4" w14:textId="77777777" w:rsidR="00AF5F03" w:rsidRPr="00AF5F03" w:rsidRDefault="00AF5F03" w:rsidP="00AF5F03">
            <w:pPr>
              <w:spacing w:after="120"/>
              <w:jc w:val="both"/>
              <w:rPr>
                <w:strike/>
                <w:sz w:val="26"/>
                <w:szCs w:val="26"/>
              </w:rPr>
            </w:pPr>
            <w:r w:rsidRPr="00AF5F03">
              <w:rPr>
                <w:strike/>
                <w:sz w:val="26"/>
                <w:szCs w:val="26"/>
              </w:rPr>
              <w:t xml:space="preserve">2. Ủy ban kiểm toán thông qua quyết định bằng biểu quyết tại cuộc họp, lấy ý kiến bằng văn bản hoặc hình thức khác do Quy chế hoạt động Ủy ban kiểm toán quy định. Mỗi thành viên Ủy ban kiểm toán có một phiếu biểu quyết. Trừ trường hợp Quy chế hoạt động Ủy ban kiểm toán có quy định tỷ lệ khác cao hơn, quyết định của Ủy ban kiểm toán được thông qua nếu được đa số thành viên dự họp tán thành; trường hợp số phiếu ngang nhau </w:t>
            </w:r>
            <w:r w:rsidRPr="00AF5F03">
              <w:rPr>
                <w:strike/>
                <w:sz w:val="26"/>
                <w:szCs w:val="26"/>
              </w:rPr>
              <w:lastRenderedPageBreak/>
              <w:t>thì quyết định cuối cùng thuộc về phía có ý kiến của Chủ tịch Ủy ban kiểm toán.</w:t>
            </w:r>
          </w:p>
          <w:p w14:paraId="2E40307C" w14:textId="77777777" w:rsidR="00AF5F03" w:rsidRPr="00AF5F03" w:rsidRDefault="00AF5F03" w:rsidP="00AF5F03">
            <w:pPr>
              <w:spacing w:after="120"/>
              <w:jc w:val="both"/>
              <w:rPr>
                <w:strike/>
                <w:sz w:val="26"/>
                <w:szCs w:val="26"/>
              </w:rPr>
            </w:pPr>
            <w:r w:rsidRPr="00AF5F03">
              <w:rPr>
                <w:b/>
                <w:bCs/>
                <w:strike/>
                <w:sz w:val="26"/>
                <w:szCs w:val="26"/>
              </w:rPr>
              <w:t>Điều 23. Báo cáo hoạt động của thành viên độc lập Hội đồng quản trị trong Ủy ban kiểm toán tại cuộc họp Đại hội đồng cổ đông thường niên</w:t>
            </w:r>
          </w:p>
          <w:p w14:paraId="6F90D5E4" w14:textId="77777777" w:rsidR="00AF5F03" w:rsidRPr="00AF5F03" w:rsidRDefault="00AF5F03" w:rsidP="00AF5F03">
            <w:pPr>
              <w:spacing w:after="120"/>
              <w:jc w:val="both"/>
              <w:rPr>
                <w:strike/>
                <w:sz w:val="26"/>
                <w:szCs w:val="26"/>
              </w:rPr>
            </w:pPr>
            <w:r w:rsidRPr="00AF5F03">
              <w:rPr>
                <w:strike/>
                <w:sz w:val="26"/>
                <w:szCs w:val="26"/>
              </w:rPr>
              <w:t>1. Thành viên độc lập Hội đồng quản trị trong Ủy ban kiểm toán có trách nhiệm báo cáo hoạt động tại cuộc họp Đại hội đồng cổ đông thường niên.</w:t>
            </w:r>
          </w:p>
          <w:p w14:paraId="226A8BA8" w14:textId="77777777" w:rsidR="00AF5F03" w:rsidRPr="00AF5F03" w:rsidRDefault="00AF5F03" w:rsidP="00AF5F03">
            <w:pPr>
              <w:spacing w:after="120"/>
              <w:jc w:val="both"/>
              <w:rPr>
                <w:strike/>
                <w:sz w:val="26"/>
                <w:szCs w:val="26"/>
              </w:rPr>
            </w:pPr>
            <w:r w:rsidRPr="00AF5F03">
              <w:rPr>
                <w:strike/>
                <w:sz w:val="26"/>
                <w:szCs w:val="26"/>
              </w:rPr>
              <w:t>2. Báo cáo hoạt động của thành viên độc lập Hội đồng quản trị trong Ủy ban kiểm toán tại cuộc họp Đại hội đồng cổ đông thường niên phải đảm bảo có các nội dung sau:</w:t>
            </w:r>
          </w:p>
          <w:p w14:paraId="6C7C815F" w14:textId="77777777" w:rsidR="00AF5F03" w:rsidRPr="00AF5F03" w:rsidRDefault="00AF5F03" w:rsidP="00AF5F03">
            <w:pPr>
              <w:spacing w:after="120"/>
              <w:jc w:val="both"/>
              <w:rPr>
                <w:strike/>
                <w:sz w:val="26"/>
                <w:szCs w:val="26"/>
              </w:rPr>
            </w:pPr>
            <w:r w:rsidRPr="00AF5F03">
              <w:rPr>
                <w:strike/>
                <w:sz w:val="26"/>
                <w:szCs w:val="26"/>
              </w:rPr>
              <w:t>a. Thù lao, chi phí hoạt động và các lợi ích khác của Ủy ban kiểm toán và từng thành viên Ủy ban kiểm toán theo quy định tại Luật Doanh nghiệp và Điều lệ Tổng công ty;</w:t>
            </w:r>
          </w:p>
          <w:p w14:paraId="7F7C1571" w14:textId="77777777" w:rsidR="00AF5F03" w:rsidRPr="00AF5F03" w:rsidRDefault="00AF5F03" w:rsidP="00AF5F03">
            <w:pPr>
              <w:spacing w:after="120"/>
              <w:jc w:val="both"/>
              <w:rPr>
                <w:strike/>
                <w:sz w:val="26"/>
                <w:szCs w:val="26"/>
              </w:rPr>
            </w:pPr>
            <w:r w:rsidRPr="00AF5F03">
              <w:rPr>
                <w:strike/>
                <w:sz w:val="26"/>
                <w:szCs w:val="26"/>
              </w:rPr>
              <w:t>b. Tổng kết các cuộc họp của Ủy ban kiểm toán và các kết luận, kiến nghị của Ủy ban kiểm toán;</w:t>
            </w:r>
          </w:p>
          <w:p w14:paraId="564F7AAC" w14:textId="77777777" w:rsidR="00AF5F03" w:rsidRPr="00AF5F03" w:rsidRDefault="00AF5F03" w:rsidP="00AF5F03">
            <w:pPr>
              <w:spacing w:after="120"/>
              <w:jc w:val="both"/>
              <w:rPr>
                <w:strike/>
                <w:sz w:val="26"/>
                <w:szCs w:val="26"/>
              </w:rPr>
            </w:pPr>
            <w:r w:rsidRPr="00AF5F03">
              <w:rPr>
                <w:strike/>
                <w:sz w:val="26"/>
                <w:szCs w:val="26"/>
              </w:rPr>
              <w:t>c. Kết quả giám sát đối với báo cáo tài chính, tình hình hoạt động, tình hình tài chính của Tổng công ty;</w:t>
            </w:r>
          </w:p>
          <w:p w14:paraId="4222049B" w14:textId="77777777" w:rsidR="00AF5F03" w:rsidRPr="00AF5F03" w:rsidRDefault="00AF5F03" w:rsidP="00AF5F03">
            <w:pPr>
              <w:spacing w:after="120"/>
              <w:jc w:val="both"/>
              <w:rPr>
                <w:strike/>
                <w:sz w:val="26"/>
                <w:szCs w:val="26"/>
              </w:rPr>
            </w:pPr>
            <w:r w:rsidRPr="00AF5F03">
              <w:rPr>
                <w:strike/>
                <w:sz w:val="26"/>
                <w:szCs w:val="26"/>
              </w:rPr>
              <w:t xml:space="preserve">d. Báo cáo đánh giá về giao dịch giữa Tổng công ty, công ty con, công ty khác do Tổng công ty nắm quyền kiểm soát trên 50% trở lên vốn điều lệ với </w:t>
            </w:r>
            <w:r w:rsidRPr="00AF5F03">
              <w:rPr>
                <w:strike/>
                <w:sz w:val="26"/>
                <w:szCs w:val="26"/>
              </w:rPr>
              <w:lastRenderedPageBreak/>
              <w:t>thành viên Hội đồng quản trị, Tổng giám đốc, người điều hành khác của doanh nghiệp và những người có liên quan của đối tượng đó; giao dịch giữa Tổng công ty với công ty trong đó thành viên Hội đồng quản trị, Tổng giám đốc, người điều hành khác của doanh nghiệp là thành viên sáng lập hoặc là người quản lý doanh nghiệp trong thời gian 03 năm gần nhất trước thời điểm giao dịch;</w:t>
            </w:r>
          </w:p>
          <w:p w14:paraId="2E178C45" w14:textId="77777777" w:rsidR="00AF5F03" w:rsidRPr="00AF5F03" w:rsidRDefault="00AF5F03" w:rsidP="00AF5F03">
            <w:pPr>
              <w:spacing w:after="120"/>
              <w:jc w:val="both"/>
              <w:rPr>
                <w:strike/>
                <w:sz w:val="26"/>
                <w:szCs w:val="26"/>
              </w:rPr>
            </w:pPr>
            <w:r w:rsidRPr="00AF5F03">
              <w:rPr>
                <w:strike/>
                <w:sz w:val="26"/>
                <w:szCs w:val="26"/>
              </w:rPr>
              <w:t>e. Kết quả đánh giá về hệ thống kiểm soát nội bộ và quản lý rủi ro của Tổng công ty;</w:t>
            </w:r>
          </w:p>
          <w:p w14:paraId="586D045D" w14:textId="77777777" w:rsidR="00AF5F03" w:rsidRPr="00AF5F03" w:rsidRDefault="00AF5F03" w:rsidP="00AF5F03">
            <w:pPr>
              <w:spacing w:after="120"/>
              <w:jc w:val="both"/>
              <w:rPr>
                <w:strike/>
                <w:sz w:val="26"/>
                <w:szCs w:val="26"/>
              </w:rPr>
            </w:pPr>
            <w:r w:rsidRPr="00AF5F03">
              <w:rPr>
                <w:strike/>
                <w:sz w:val="26"/>
                <w:szCs w:val="26"/>
              </w:rPr>
              <w:t>f. Kết quả giám sát đối với Hội đồng quản trị, Tổng giám đốc và người điều hành khác của doanh nghiệp;</w:t>
            </w:r>
          </w:p>
          <w:p w14:paraId="694D40B2" w14:textId="77777777" w:rsidR="00AF5F03" w:rsidRPr="00AF5F03" w:rsidRDefault="00AF5F03" w:rsidP="00AF5F03">
            <w:pPr>
              <w:spacing w:after="120"/>
              <w:jc w:val="both"/>
              <w:rPr>
                <w:strike/>
                <w:sz w:val="26"/>
                <w:szCs w:val="26"/>
              </w:rPr>
            </w:pPr>
            <w:r w:rsidRPr="00AF5F03">
              <w:rPr>
                <w:strike/>
                <w:sz w:val="26"/>
                <w:szCs w:val="26"/>
              </w:rPr>
              <w:t>g. Kết quả đánh giá sự phối hợp hoạt động giữa Ủy ban kiểm toán với Hội đồng quản trị, Tổng giám đốc và các cổ đông;</w:t>
            </w:r>
          </w:p>
          <w:p w14:paraId="53B7CF7E" w14:textId="77777777" w:rsidR="00AF5F03" w:rsidRPr="00AF5F03" w:rsidRDefault="00AF5F03" w:rsidP="00AF5F03">
            <w:pPr>
              <w:spacing w:after="120"/>
              <w:jc w:val="both"/>
              <w:rPr>
                <w:strike/>
                <w:sz w:val="26"/>
                <w:szCs w:val="26"/>
              </w:rPr>
            </w:pPr>
            <w:r w:rsidRPr="00AF5F03">
              <w:rPr>
                <w:strike/>
                <w:sz w:val="26"/>
                <w:szCs w:val="26"/>
              </w:rPr>
              <w:t>h. Các nội dung khác (nếu có).</w:t>
            </w:r>
          </w:p>
          <w:p w14:paraId="4DA00504" w14:textId="77777777" w:rsidR="00AF5F03" w:rsidRPr="00AF5F03" w:rsidRDefault="00AF5F03" w:rsidP="00AF5F03">
            <w:pPr>
              <w:spacing w:after="120"/>
              <w:jc w:val="both"/>
              <w:rPr>
                <w:b/>
                <w:strike/>
                <w:sz w:val="26"/>
                <w:szCs w:val="26"/>
                <w:lang w:val="nl-NL"/>
              </w:rPr>
            </w:pPr>
          </w:p>
        </w:tc>
        <w:tc>
          <w:tcPr>
            <w:tcW w:w="4828" w:type="dxa"/>
            <w:vAlign w:val="center"/>
          </w:tcPr>
          <w:p w14:paraId="0EED480B" w14:textId="77777777" w:rsidR="00AF5F03" w:rsidRPr="00CE7D1C" w:rsidRDefault="00AF5F03" w:rsidP="00AF5F03">
            <w:pPr>
              <w:widowControl w:val="0"/>
              <w:jc w:val="center"/>
              <w:rPr>
                <w:b/>
                <w:sz w:val="26"/>
                <w:szCs w:val="26"/>
                <w:lang w:val="nl-NL"/>
              </w:rPr>
            </w:pPr>
            <w:r>
              <w:rPr>
                <w:b/>
                <w:sz w:val="26"/>
                <w:szCs w:val="26"/>
                <w:lang w:val="nl-NL"/>
              </w:rPr>
              <w:lastRenderedPageBreak/>
              <w:t>CHƯƠNG IV</w:t>
            </w:r>
          </w:p>
          <w:p w14:paraId="3FF17C74" w14:textId="77777777" w:rsidR="00AF5F03" w:rsidRDefault="00AF5F03" w:rsidP="00AF5F03">
            <w:pPr>
              <w:widowControl w:val="0"/>
              <w:jc w:val="center"/>
              <w:rPr>
                <w:b/>
                <w:sz w:val="26"/>
                <w:szCs w:val="26"/>
                <w:lang w:val="nl-NL"/>
              </w:rPr>
            </w:pPr>
            <w:r>
              <w:rPr>
                <w:b/>
                <w:sz w:val="26"/>
                <w:szCs w:val="26"/>
                <w:lang w:val="nl-NL"/>
              </w:rPr>
              <w:t xml:space="preserve">BAN KIỂM SOÁT </w:t>
            </w:r>
          </w:p>
          <w:p w14:paraId="2E40394C" w14:textId="77777777" w:rsidR="00AF5F03" w:rsidRDefault="00AF5F03" w:rsidP="00AF5F03">
            <w:pPr>
              <w:widowControl w:val="0"/>
              <w:jc w:val="both"/>
              <w:rPr>
                <w:b/>
                <w:sz w:val="26"/>
                <w:szCs w:val="26"/>
                <w:lang w:val="nl-NL"/>
              </w:rPr>
            </w:pPr>
            <w:r>
              <w:rPr>
                <w:b/>
                <w:sz w:val="26"/>
                <w:szCs w:val="26"/>
                <w:lang w:val="nl-NL"/>
              </w:rPr>
              <w:t>Điều 19. Ban Kiểm soát</w:t>
            </w:r>
          </w:p>
          <w:p w14:paraId="70E2D333" w14:textId="77777777" w:rsidR="00AF5F03" w:rsidRDefault="00AF5F03" w:rsidP="00AF5F03">
            <w:pPr>
              <w:widowControl w:val="0"/>
              <w:jc w:val="both"/>
              <w:rPr>
                <w:sz w:val="26"/>
                <w:szCs w:val="26"/>
              </w:rPr>
            </w:pPr>
            <w:r w:rsidRPr="000A4940">
              <w:rPr>
                <w:sz w:val="26"/>
                <w:szCs w:val="26"/>
              </w:rPr>
              <w:t xml:space="preserve">Ban kiểm soát là bộ phận trong cơ cấu tổ chức quản lý của </w:t>
            </w:r>
            <w:r>
              <w:rPr>
                <w:sz w:val="26"/>
                <w:szCs w:val="26"/>
              </w:rPr>
              <w:t>Tổng công ty</w:t>
            </w:r>
            <w:r w:rsidRPr="000A4940">
              <w:rPr>
                <w:sz w:val="26"/>
                <w:szCs w:val="26"/>
              </w:rPr>
              <w:t xml:space="preserve"> do Đại hội đồng cổ đông bầu, có thẩm quyền thay mặt Đại hội đồng cổ đông thực hiện nghĩa vụ giám sát việc quản trị, điều hành </w:t>
            </w:r>
            <w:r>
              <w:rPr>
                <w:sz w:val="26"/>
                <w:szCs w:val="26"/>
              </w:rPr>
              <w:t>Tổng công ty</w:t>
            </w:r>
            <w:r w:rsidRPr="000A4940">
              <w:rPr>
                <w:sz w:val="26"/>
                <w:szCs w:val="26"/>
              </w:rPr>
              <w:t xml:space="preserve"> theo quy định của pháp luật và Điều lệ </w:t>
            </w:r>
            <w:r>
              <w:rPr>
                <w:sz w:val="26"/>
                <w:szCs w:val="26"/>
              </w:rPr>
              <w:t>Tổng công ty;</w:t>
            </w:r>
            <w:r w:rsidRPr="000A4940">
              <w:rPr>
                <w:sz w:val="26"/>
                <w:szCs w:val="26"/>
              </w:rPr>
              <w:t xml:space="preserve"> </w:t>
            </w:r>
            <w:r>
              <w:rPr>
                <w:sz w:val="26"/>
                <w:szCs w:val="26"/>
              </w:rPr>
              <w:t>c</w:t>
            </w:r>
            <w:r w:rsidRPr="000A4940">
              <w:rPr>
                <w:sz w:val="26"/>
                <w:szCs w:val="26"/>
              </w:rPr>
              <w:t>hịu trách nhiệm trước Đại hội đồng cổ đông trong việc thực hiện các nhiệm vụ, quyền hạn được giao.</w:t>
            </w:r>
          </w:p>
          <w:p w14:paraId="48CD4D61" w14:textId="77777777" w:rsidR="00AF5F03" w:rsidRPr="000A4940" w:rsidRDefault="00AF5F03" w:rsidP="00AF5F03">
            <w:pPr>
              <w:shd w:val="clear" w:color="auto" w:fill="FFFFFF"/>
              <w:spacing w:before="120" w:line="234" w:lineRule="atLeast"/>
              <w:jc w:val="both"/>
              <w:rPr>
                <w:color w:val="000000"/>
                <w:sz w:val="26"/>
                <w:szCs w:val="26"/>
              </w:rPr>
            </w:pPr>
            <w:r w:rsidRPr="000A4940">
              <w:rPr>
                <w:b/>
                <w:bCs/>
                <w:color w:val="000000"/>
                <w:sz w:val="26"/>
                <w:szCs w:val="26"/>
              </w:rPr>
              <w:t xml:space="preserve">Điều </w:t>
            </w:r>
            <w:r>
              <w:rPr>
                <w:b/>
                <w:bCs/>
                <w:color w:val="000000"/>
                <w:sz w:val="26"/>
                <w:szCs w:val="26"/>
              </w:rPr>
              <w:t>20</w:t>
            </w:r>
            <w:r w:rsidRPr="000A4940">
              <w:rPr>
                <w:b/>
                <w:bCs/>
                <w:color w:val="000000"/>
                <w:sz w:val="26"/>
                <w:szCs w:val="26"/>
              </w:rPr>
              <w:t>. Quyền và nghĩa vụ của Ban kiểm soát</w:t>
            </w:r>
          </w:p>
          <w:p w14:paraId="071E53D7" w14:textId="77777777" w:rsidR="00AF5F03" w:rsidRPr="000A4940" w:rsidRDefault="00AF5F03" w:rsidP="00AF5F03">
            <w:pPr>
              <w:shd w:val="clear" w:color="auto" w:fill="FFFFFF"/>
              <w:spacing w:before="120" w:line="234" w:lineRule="atLeast"/>
              <w:jc w:val="both"/>
              <w:rPr>
                <w:color w:val="000000"/>
                <w:sz w:val="26"/>
                <w:szCs w:val="26"/>
              </w:rPr>
            </w:pPr>
            <w:r w:rsidRPr="000A4940">
              <w:rPr>
                <w:color w:val="000000"/>
                <w:sz w:val="26"/>
                <w:szCs w:val="26"/>
              </w:rPr>
              <w:t>Ban kiểm soát có các quyền, nghĩa vụ theo quy định tại Điều 170 Luật Doanh nghiệp và các quyền, nghĩa vụ sau:</w:t>
            </w:r>
          </w:p>
          <w:p w14:paraId="31830B2A"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1. Đề xuất, kiến nghị Đại hội đồng cổ đông phê duyệt danh sách tổ chức kiểm toán được chấp thuận thực hiện kiểm toán Báo cáo tài chính của Tổng công ty; quyết định tổ chức kiểm toán được chấp thuận thực hiện kiểm tra hoạt động của Tổng công ty, bãi miễn kiểm toán viên được chấp thuận khi xét thấy cần thiết.</w:t>
            </w:r>
          </w:p>
          <w:p w14:paraId="0B501C9C"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2. Chịu trách nhiệm trước cổ đông về hoạt động giám sát của mình.</w:t>
            </w:r>
          </w:p>
          <w:p w14:paraId="1B6631B0"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3. Giám sát tình hình tài chính của Tổng công ty, việc tuân thủ pháp luật trong hoạt động của thành viên Hội đồng quản trị, Tổng giám đốc, người quản lý khác.</w:t>
            </w:r>
          </w:p>
          <w:p w14:paraId="3A8CFC70"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 xml:space="preserve">4. Đảm bảo phối hợp hoạt động với Hội </w:t>
            </w:r>
            <w:r w:rsidRPr="000A4940">
              <w:rPr>
                <w:color w:val="000000"/>
                <w:sz w:val="26"/>
                <w:szCs w:val="26"/>
              </w:rPr>
              <w:lastRenderedPageBreak/>
              <w:t>đồng quản trị, Tổng giám đốc và cổ đông.</w:t>
            </w:r>
          </w:p>
          <w:p w14:paraId="4DBD23D0"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5. Trường hợp phát hiện hành vi vi phạm pháp luật hoặc vi phạm Điều lệ Tổng công ty của thành viên Hội đồng quản trị, Tổng giám đốc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6C13B535"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6. Xây dựng Quy chế hoạt động của Ban kiểm soát và trình Đại hội đồng cổ đông thông qua.</w:t>
            </w:r>
          </w:p>
          <w:p w14:paraId="4B1B9981" w14:textId="77777777" w:rsidR="00AF5F03" w:rsidRPr="000A4940" w:rsidRDefault="00AF5F03" w:rsidP="00AF5F03">
            <w:pPr>
              <w:shd w:val="clear" w:color="auto" w:fill="FFFFFF"/>
              <w:spacing w:line="234" w:lineRule="atLeast"/>
              <w:jc w:val="both"/>
              <w:rPr>
                <w:color w:val="000000"/>
                <w:sz w:val="26"/>
                <w:szCs w:val="26"/>
              </w:rPr>
            </w:pPr>
            <w:r w:rsidRPr="000A4940">
              <w:rPr>
                <w:color w:val="000000"/>
                <w:sz w:val="26"/>
                <w:szCs w:val="26"/>
              </w:rPr>
              <w:t>7. Báo cáo tại Đại hội đồng cổ đông theo quy định tại Điều 290 Nghị định số 155/2020/NĐ-CP ngày 31/12/2020 của Chính phủ quy định chi tiết thi hành một số điều của Luật Chứng khoán.</w:t>
            </w:r>
          </w:p>
          <w:p w14:paraId="7CDCCF63"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8. Có quyền tiếp cận hồ sơ, tài liệu của Tổng công ty lưu giữ tại trụ sở chính, chi nhánh và địa điểm khác; có quyền đến địa điểm làm việc của người quản lý và nhân viên của Tổng công ty trong giờ làm việc.</w:t>
            </w:r>
          </w:p>
          <w:p w14:paraId="3E0D0DE3"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9. Có quyền yêu cầu Hội đồng quản trị, thành viên Hội đồng quản trị, Tổng giám đốc và người quản lý khác cung cấp đầy đủ, chính xác, kịp thời thông tin, tài liệu về công tác quản lý, điều hành và hoạt động kinh doanh của Tổng công ty.</w:t>
            </w:r>
          </w:p>
          <w:p w14:paraId="15DAA04C" w14:textId="77777777" w:rsidR="00AF5F03" w:rsidRDefault="00AF5F03" w:rsidP="00AF5F03">
            <w:pPr>
              <w:widowControl w:val="0"/>
              <w:jc w:val="both"/>
              <w:rPr>
                <w:color w:val="000000"/>
                <w:sz w:val="26"/>
                <w:szCs w:val="26"/>
              </w:rPr>
            </w:pPr>
            <w:r w:rsidRPr="000A4940">
              <w:rPr>
                <w:color w:val="000000"/>
                <w:sz w:val="26"/>
                <w:szCs w:val="26"/>
              </w:rPr>
              <w:t>10. Các quyền và nghĩa vụ khác theo quy định của pháp luật, Điều lệ và quy định nội bộ của Tổng công ty.</w:t>
            </w:r>
          </w:p>
          <w:p w14:paraId="7F444D7C" w14:textId="77777777" w:rsidR="00AF5F03" w:rsidRPr="000A4940" w:rsidRDefault="00AF5F03" w:rsidP="00AF5F03">
            <w:pPr>
              <w:shd w:val="clear" w:color="auto" w:fill="FFFFFF"/>
              <w:spacing w:before="200" w:line="234" w:lineRule="atLeast"/>
              <w:jc w:val="both"/>
              <w:rPr>
                <w:color w:val="000000"/>
                <w:sz w:val="26"/>
                <w:szCs w:val="26"/>
              </w:rPr>
            </w:pPr>
            <w:r w:rsidRPr="000A4940">
              <w:rPr>
                <w:b/>
                <w:bCs/>
                <w:color w:val="000000"/>
                <w:sz w:val="26"/>
                <w:szCs w:val="26"/>
              </w:rPr>
              <w:lastRenderedPageBreak/>
              <w:t>Điều 21. Ứng cử, đề cử thành viên Ban kiểm soát</w:t>
            </w:r>
          </w:p>
          <w:p w14:paraId="7A5D91FE" w14:textId="77777777" w:rsidR="00AF5F03" w:rsidRPr="00320E2E" w:rsidRDefault="00AF5F03" w:rsidP="00AF5F03">
            <w:pPr>
              <w:shd w:val="clear" w:color="auto" w:fill="FFFFFF"/>
              <w:spacing w:after="200" w:line="234" w:lineRule="atLeast"/>
              <w:jc w:val="both"/>
              <w:rPr>
                <w:color w:val="000000"/>
                <w:sz w:val="26"/>
                <w:szCs w:val="26"/>
              </w:rPr>
            </w:pPr>
            <w:r w:rsidRPr="00320E2E">
              <w:rPr>
                <w:color w:val="000000"/>
                <w:sz w:val="26"/>
                <w:szCs w:val="26"/>
              </w:rPr>
              <w:t>1. Việc ứng cử, đề cử thành viên Ban kiểm soát được thực hiện tương tự quy định như sau:</w:t>
            </w:r>
          </w:p>
          <w:p w14:paraId="72B6B887" w14:textId="77777777" w:rsidR="00AF5F03" w:rsidRPr="00320E2E" w:rsidRDefault="00AF5F03" w:rsidP="00AF5F03">
            <w:pPr>
              <w:spacing w:after="120"/>
              <w:ind w:firstLine="720"/>
              <w:jc w:val="both"/>
              <w:rPr>
                <w:sz w:val="26"/>
                <w:szCs w:val="26"/>
              </w:rPr>
            </w:pPr>
            <w:r w:rsidRPr="00320E2E">
              <w:rPr>
                <w:sz w:val="26"/>
                <w:szCs w:val="26"/>
                <w:shd w:val="clear" w:color="auto" w:fill="FFFFFF"/>
              </w:rPr>
              <w:t>1.</w:t>
            </w:r>
            <w:r w:rsidRPr="00320E2E">
              <w:rPr>
                <w:sz w:val="26"/>
                <w:szCs w:val="26"/>
              </w:rPr>
              <w:t>1. Trường hợp đã xác định được ứng cử viên Ban kiểm soát, Tổng công ty phải công bố thông tin liên quan đến các ứng cử viên tối thiểu 10 ngày trước ngày khai mạc họp Đại hội đồng cổ đông trên trang thông tin điện tử của Tổng công ty để cổ đông có thể tìm hiểu về các ứng cử viên này trước khi bỏ phiếu, ứng cử viên Ban kiểm soát phải có cam kết bằng văn bản về tính trung thực, chính xác của các thông tin cá nhân được công bố và phải cam kết thực hiện nhiệm vụ một cách trung thực, cẩn trọng và vì lợi ích cao nhất của Tổng công ty nếu được bầu làm thành viên Ban kiểm soát. Thông tin liên quan đến ứng cử viên Ban kiểm soát được công bố bao gồm:</w:t>
            </w:r>
          </w:p>
          <w:p w14:paraId="66D20B9A" w14:textId="77777777" w:rsidR="00AF5F03" w:rsidRPr="00320E2E" w:rsidRDefault="00AF5F03" w:rsidP="00AF5F03">
            <w:pPr>
              <w:spacing w:after="120"/>
              <w:contextualSpacing/>
              <w:jc w:val="both"/>
              <w:rPr>
                <w:sz w:val="26"/>
                <w:szCs w:val="26"/>
              </w:rPr>
            </w:pPr>
            <w:r>
              <w:rPr>
                <w:sz w:val="26"/>
                <w:szCs w:val="26"/>
              </w:rPr>
              <w:t xml:space="preserve">a) </w:t>
            </w:r>
            <w:r w:rsidRPr="00320E2E">
              <w:rPr>
                <w:sz w:val="26"/>
                <w:szCs w:val="26"/>
              </w:rPr>
              <w:t>Họ tên, ngày, tháng, năm sinh;</w:t>
            </w:r>
          </w:p>
          <w:p w14:paraId="2313F6D4" w14:textId="77777777" w:rsidR="00AF5F03" w:rsidRPr="00320E2E" w:rsidRDefault="00AF5F03" w:rsidP="00AF5F03">
            <w:pPr>
              <w:spacing w:after="120"/>
              <w:jc w:val="both"/>
              <w:rPr>
                <w:sz w:val="26"/>
                <w:szCs w:val="26"/>
              </w:rPr>
            </w:pPr>
            <w:r w:rsidRPr="00320E2E">
              <w:rPr>
                <w:sz w:val="26"/>
                <w:szCs w:val="26"/>
              </w:rPr>
              <w:t>b)  Trình độ chuyên môn;</w:t>
            </w:r>
          </w:p>
          <w:p w14:paraId="4FF0DB5C" w14:textId="77777777" w:rsidR="00AF5F03" w:rsidRPr="00320E2E" w:rsidRDefault="00AF5F03" w:rsidP="00AF5F03">
            <w:pPr>
              <w:spacing w:after="120"/>
              <w:jc w:val="both"/>
              <w:rPr>
                <w:sz w:val="26"/>
                <w:szCs w:val="26"/>
              </w:rPr>
            </w:pPr>
            <w:r w:rsidRPr="00320E2E">
              <w:rPr>
                <w:sz w:val="26"/>
                <w:szCs w:val="26"/>
              </w:rPr>
              <w:t>c)  Quá trình công tác;</w:t>
            </w:r>
          </w:p>
          <w:p w14:paraId="661C4909" w14:textId="77777777" w:rsidR="00AF5F03" w:rsidRPr="00320E2E" w:rsidRDefault="00AF5F03" w:rsidP="00AF5F03">
            <w:pPr>
              <w:spacing w:after="120"/>
              <w:jc w:val="both"/>
              <w:rPr>
                <w:sz w:val="26"/>
                <w:szCs w:val="26"/>
              </w:rPr>
            </w:pPr>
            <w:r w:rsidRPr="00320E2E">
              <w:rPr>
                <w:sz w:val="26"/>
                <w:szCs w:val="26"/>
              </w:rPr>
              <w:t>d)  Các chức danh quản lý khác (bao gồm cả chức danh Hội đồng quản trị của công ty khác);</w:t>
            </w:r>
          </w:p>
          <w:p w14:paraId="662ADEB2" w14:textId="77777777" w:rsidR="00AF5F03" w:rsidRPr="00320E2E" w:rsidRDefault="00AF5F03" w:rsidP="00AF5F03">
            <w:pPr>
              <w:spacing w:after="120"/>
              <w:jc w:val="both"/>
              <w:rPr>
                <w:sz w:val="26"/>
                <w:szCs w:val="26"/>
              </w:rPr>
            </w:pPr>
            <w:r w:rsidRPr="00320E2E">
              <w:rPr>
                <w:sz w:val="26"/>
                <w:szCs w:val="26"/>
              </w:rPr>
              <w:t>đ) Lợi ích có liên quan tới Tổng công ty và các bên có liên quan của Tổng công ty;</w:t>
            </w:r>
          </w:p>
          <w:p w14:paraId="15AE393E" w14:textId="77777777" w:rsidR="00AF5F03" w:rsidRPr="00320E2E" w:rsidRDefault="00AF5F03" w:rsidP="00AF5F03">
            <w:pPr>
              <w:spacing w:after="120"/>
              <w:jc w:val="both"/>
              <w:rPr>
                <w:sz w:val="26"/>
                <w:szCs w:val="26"/>
              </w:rPr>
            </w:pPr>
            <w:r w:rsidRPr="00320E2E">
              <w:rPr>
                <w:sz w:val="26"/>
                <w:szCs w:val="26"/>
                <w:shd w:val="clear" w:color="auto" w:fill="FFFFFF"/>
              </w:rPr>
              <w:t>e)</w:t>
            </w:r>
            <w:r w:rsidRPr="00320E2E">
              <w:rPr>
                <w:sz w:val="26"/>
                <w:szCs w:val="26"/>
              </w:rPr>
              <w:t>  Các thông tin khác (nếu có);</w:t>
            </w:r>
          </w:p>
          <w:p w14:paraId="57D6CC8C" w14:textId="77777777" w:rsidR="00AF5F03" w:rsidRPr="00320E2E" w:rsidRDefault="00AF5F03" w:rsidP="00AF5F03">
            <w:pPr>
              <w:jc w:val="both"/>
              <w:rPr>
                <w:lang w:val="nl-NL" w:eastAsia="x-none"/>
              </w:rPr>
            </w:pPr>
            <w:r w:rsidRPr="00320E2E">
              <w:rPr>
                <w:sz w:val="26"/>
                <w:szCs w:val="26"/>
              </w:rPr>
              <w:t xml:space="preserve">g) Tổng công ty phải có trách nhiệm công </w:t>
            </w:r>
            <w:r w:rsidRPr="00320E2E">
              <w:rPr>
                <w:sz w:val="26"/>
                <w:szCs w:val="26"/>
              </w:rPr>
              <w:lastRenderedPageBreak/>
              <w:t>bố thông tin về các công ty mà ứng cử viên đang nắm giữ chức vụ thành viên Ban kiểm soát, các chức danh quản lý khác và các lợi ích có liên quan tới công ty của ứng cử viên Ban kiểm soát (nếu có).</w:t>
            </w:r>
          </w:p>
          <w:p w14:paraId="66720C92" w14:textId="77777777" w:rsidR="00AF5F03" w:rsidRDefault="00AF5F03" w:rsidP="00AF5F03">
            <w:pPr>
              <w:shd w:val="clear" w:color="auto" w:fill="FFFFFF"/>
              <w:spacing w:line="234" w:lineRule="atLeast"/>
              <w:jc w:val="both"/>
              <w:rPr>
                <w:color w:val="000000"/>
                <w:sz w:val="26"/>
                <w:szCs w:val="26"/>
              </w:rPr>
            </w:pPr>
            <w:r w:rsidRPr="00320E2E">
              <w:rPr>
                <w:sz w:val="26"/>
                <w:szCs w:val="26"/>
                <w:lang w:val="nl-NL"/>
              </w:rPr>
              <w:t>1.2. Ngoại trừ các cam kết của riêng cổ đông chiến lược trong các tài liệu giao dịch, cổ đông hoặc nhóm cổ đông có quyền biểu quyết có quyền gộp số quyền biểu quyết của từng người lại với nhau để đề cử các ứng viên Ban kiểm soát. Cổ đông hoặc nhóm cổ đông nắm giữ từ 5% đến dưới 10% tổng số cổ phần có quyền biểu quyết được đề cử một (1) ứng viên; từ 10% đến dưới 30% được đề cử tối đa hai (2) ứng viên; từ 30% đến dưới 50% được đề cử tối đa ba (3) ứng viên; từ 50% đến dưới 90% được đề cử tối đa bốn (4) ứng viên</w:t>
            </w:r>
            <w:r>
              <w:rPr>
                <w:sz w:val="26"/>
                <w:szCs w:val="26"/>
                <w:lang w:val="nl-NL"/>
              </w:rPr>
              <w:t>.</w:t>
            </w:r>
          </w:p>
          <w:p w14:paraId="40592497"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2. 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Tổng công ty, Quy chế nội bộ về quản trị Tổng công ty và Quy chế hoạt động của Ban kiểm soát. Việc Ban kiểm soát đương nhiệm giới thiệu thêm ứng viên phải được công bố rõ ràng trước khi Đại hội đồng cổ đông biểu quyết bầu thành viên Ban kiểm soát theo quy định của pháp luật.</w:t>
            </w:r>
          </w:p>
          <w:p w14:paraId="36DD8FBF" w14:textId="77777777" w:rsidR="00AF5F03" w:rsidRPr="000A4940" w:rsidRDefault="00AF5F03" w:rsidP="00AF5F03">
            <w:pPr>
              <w:shd w:val="clear" w:color="auto" w:fill="FFFFFF"/>
              <w:spacing w:line="234" w:lineRule="atLeast"/>
              <w:jc w:val="both"/>
              <w:rPr>
                <w:color w:val="000000"/>
                <w:sz w:val="26"/>
                <w:szCs w:val="26"/>
              </w:rPr>
            </w:pPr>
            <w:r w:rsidRPr="000A4940">
              <w:rPr>
                <w:b/>
                <w:bCs/>
                <w:color w:val="000000"/>
                <w:sz w:val="26"/>
                <w:szCs w:val="26"/>
              </w:rPr>
              <w:t xml:space="preserve">Điều </w:t>
            </w:r>
            <w:r>
              <w:rPr>
                <w:b/>
                <w:bCs/>
                <w:color w:val="000000"/>
                <w:sz w:val="26"/>
                <w:szCs w:val="26"/>
              </w:rPr>
              <w:t>22</w:t>
            </w:r>
            <w:r w:rsidRPr="000A4940">
              <w:rPr>
                <w:b/>
                <w:bCs/>
                <w:color w:val="000000"/>
                <w:sz w:val="26"/>
                <w:szCs w:val="26"/>
              </w:rPr>
              <w:t>. Thành phần Ban Kiểm soát</w:t>
            </w:r>
          </w:p>
          <w:p w14:paraId="6CE05286"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 xml:space="preserve">1. Số lượng thành viên Ban kiểm soát của Tổng công ty </w:t>
            </w:r>
            <w:r>
              <w:rPr>
                <w:color w:val="000000"/>
                <w:sz w:val="26"/>
                <w:szCs w:val="26"/>
              </w:rPr>
              <w:t>có từ 03 đến 0</w:t>
            </w:r>
            <w:r w:rsidRPr="000A4940">
              <w:rPr>
                <w:color w:val="000000"/>
                <w:sz w:val="26"/>
                <w:szCs w:val="26"/>
              </w:rPr>
              <w:t xml:space="preserve">5 người. Nhiệm kỳ của thành viên Ban kiểm soát không quá </w:t>
            </w:r>
            <w:r w:rsidRPr="000A4940">
              <w:rPr>
                <w:color w:val="000000"/>
                <w:sz w:val="26"/>
                <w:szCs w:val="26"/>
              </w:rPr>
              <w:lastRenderedPageBreak/>
              <w:t>05 năm và có thể được bầu lại với số nhiệm kỳ không hạn chế. Ban kiểm soát phải có hơn một nửa số thành viên thường trú ở Việt Nam</w:t>
            </w:r>
          </w:p>
          <w:p w14:paraId="74CACB19"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2. Thành viên Ban kiểm soát phải đáp ứng các tiêu chuẩn và điều kiện theo quy định tại Điều 169 Luật Doanh nghiệp, quy định tại Luật kinh doanh bảo hiểm và không thuộc các trường hợp sau:</w:t>
            </w:r>
          </w:p>
          <w:p w14:paraId="22DE77FE"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a) Làm việc trong bộ phận kế toán, tài chính của Tổng công ty;</w:t>
            </w:r>
          </w:p>
          <w:p w14:paraId="4BAE1321"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b) Là thành viên hay nhân viên của công ty kiểm toán độc lập thực hiện kiểm toán các báo cáo tài chính của Tổng công ty trong 03 năm liền trước đó.</w:t>
            </w:r>
          </w:p>
          <w:p w14:paraId="7020BA3E"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3. Thành viên Ban Kiểm soát bị miễn nhiệm trong các trường hợp sau:</w:t>
            </w:r>
          </w:p>
          <w:p w14:paraId="3295D3E3"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a) Không còn đủ tiêu chuẩn và điều kiện làm thành viên Ban kiểm soát theo quy định tại khoản 2 Điều này;</w:t>
            </w:r>
          </w:p>
          <w:p w14:paraId="38EE6C94"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b) Có đơn từ chức và được chấp thuận;</w:t>
            </w:r>
          </w:p>
          <w:p w14:paraId="2DC83DB0"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c) Các trường hợp khác theo quy định của pháp luật, Điều lệ và quy chế hoạt động của Ban kiểm soát.</w:t>
            </w:r>
          </w:p>
          <w:p w14:paraId="75F34D32"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4. Thành viên Ban kiểm soát bị bãi nhiệm trong các trường hợp sau:</w:t>
            </w:r>
          </w:p>
          <w:p w14:paraId="11E56337"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a) Không hoàn thành nhiệm vụ, công việc được phân công;</w:t>
            </w:r>
          </w:p>
          <w:p w14:paraId="281BE5C3"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b) Không thực hiện quyền và nghĩa vụ của mình trong 06 tháng liên tục, trừ trường hợp bất khả kháng;</w:t>
            </w:r>
          </w:p>
          <w:p w14:paraId="514A26D5"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lastRenderedPageBreak/>
              <w:t>c) Vi phạm nhiều lần, vi phạm nghiêm trọng nghĩa vụ của thành viên Ban kiểm soát theo quy định của Luật Doanh nghiệp và Điều lệ Tổng công ty;</w:t>
            </w:r>
          </w:p>
          <w:p w14:paraId="24C08DAD"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d) Trường hợp khác theo nghị quyết Đại hội đồng cổ đông.</w:t>
            </w:r>
          </w:p>
          <w:p w14:paraId="0A07E697" w14:textId="77777777" w:rsidR="00AF5F03" w:rsidRPr="000A4940" w:rsidRDefault="00AF5F03" w:rsidP="00AF5F03">
            <w:pPr>
              <w:shd w:val="clear" w:color="auto" w:fill="FFFFFF"/>
              <w:spacing w:line="234" w:lineRule="atLeast"/>
              <w:jc w:val="both"/>
              <w:rPr>
                <w:color w:val="000000"/>
                <w:sz w:val="26"/>
                <w:szCs w:val="26"/>
              </w:rPr>
            </w:pPr>
            <w:r w:rsidRPr="000A4940">
              <w:rPr>
                <w:b/>
                <w:bCs/>
                <w:color w:val="000000"/>
                <w:sz w:val="26"/>
                <w:szCs w:val="26"/>
              </w:rPr>
              <w:t xml:space="preserve">Điều </w:t>
            </w:r>
            <w:r>
              <w:rPr>
                <w:b/>
                <w:bCs/>
                <w:color w:val="000000"/>
                <w:sz w:val="26"/>
                <w:szCs w:val="26"/>
              </w:rPr>
              <w:t>23</w:t>
            </w:r>
            <w:r w:rsidRPr="000A4940">
              <w:rPr>
                <w:b/>
                <w:bCs/>
                <w:color w:val="000000"/>
                <w:sz w:val="26"/>
                <w:szCs w:val="26"/>
              </w:rPr>
              <w:t>. Trưởng Ban kiểm soát</w:t>
            </w:r>
          </w:p>
          <w:p w14:paraId="6C25DFEE"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1. Trưởng Ban kiểm soát do Ban kiểm soát bầu trong số các thành viên Ban kiểm soát; việc bầu, miễn nhiệm, bãi nhiệm theo nguyên tắc đa số.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040CACB1"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2. Quyền và nghĩa vụ của Trưởng Ban kiểm soát:</w:t>
            </w:r>
          </w:p>
          <w:p w14:paraId="7549C642"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a) Triệu tập cuộc họp Ban kiểm soát;</w:t>
            </w:r>
          </w:p>
          <w:p w14:paraId="2A47C884"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b) Yêu cầu Hội đồng quản trị, Tổng giám đốc và người điều hành khác cung cấp các thông tin liên quan để báo cáo Ban kiểm soát;</w:t>
            </w:r>
          </w:p>
          <w:p w14:paraId="1EE43138"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c) Lập và ký báo cáo của Ban kiểm soát sau khi đã tham khảo ý kiến của Hội đồng quản trị để trình Đại hội đồng cổ đông.</w:t>
            </w:r>
          </w:p>
          <w:p w14:paraId="3340ECD7" w14:textId="77777777" w:rsidR="00AF5F03" w:rsidRPr="000A4940" w:rsidRDefault="00AF5F03" w:rsidP="00AF5F03">
            <w:pPr>
              <w:shd w:val="clear" w:color="auto" w:fill="FFFFFF"/>
              <w:spacing w:before="120" w:after="120" w:line="234" w:lineRule="atLeast"/>
              <w:jc w:val="both"/>
              <w:rPr>
                <w:color w:val="000000"/>
                <w:sz w:val="26"/>
                <w:szCs w:val="26"/>
              </w:rPr>
            </w:pPr>
            <w:r w:rsidRPr="000A4940">
              <w:rPr>
                <w:color w:val="000000"/>
                <w:sz w:val="26"/>
                <w:szCs w:val="26"/>
              </w:rPr>
              <w:t>d) Các quyền và nghĩa vụ khác theo quy định của pháp luật và Quy chế hoạt động của Ban Kiểm soát.</w:t>
            </w:r>
          </w:p>
          <w:p w14:paraId="5CCAB01F" w14:textId="77777777" w:rsidR="00AF5F03" w:rsidRPr="00CE7D1C" w:rsidRDefault="00AF5F03" w:rsidP="00AF5F03">
            <w:pPr>
              <w:spacing w:after="120"/>
              <w:jc w:val="both"/>
              <w:rPr>
                <w:b/>
                <w:sz w:val="26"/>
                <w:szCs w:val="26"/>
                <w:lang w:val="nl-NL"/>
              </w:rPr>
            </w:pPr>
          </w:p>
        </w:tc>
        <w:tc>
          <w:tcPr>
            <w:tcW w:w="2649" w:type="dxa"/>
            <w:vAlign w:val="center"/>
          </w:tcPr>
          <w:p w14:paraId="66D3820E" w14:textId="77777777" w:rsidR="00AF5F03" w:rsidRDefault="00AF5F03" w:rsidP="0062446A">
            <w:pPr>
              <w:tabs>
                <w:tab w:val="num" w:pos="897"/>
              </w:tabs>
              <w:jc w:val="both"/>
              <w:rPr>
                <w:sz w:val="26"/>
                <w:szCs w:val="26"/>
              </w:rPr>
            </w:pPr>
            <w:r>
              <w:rPr>
                <w:sz w:val="26"/>
                <w:szCs w:val="26"/>
              </w:rPr>
              <w:lastRenderedPageBreak/>
              <w:t>Thay thế các quy định về Ủy ban kiểm toán bằng các quy định về Ban kiểm soát để phù hợp với mô hình quản trị công ty có Ban kiểm soát</w:t>
            </w:r>
          </w:p>
        </w:tc>
      </w:tr>
      <w:tr w:rsidR="00AF5F03" w:rsidRPr="00701114" w14:paraId="54EEC336" w14:textId="77777777" w:rsidTr="0062446A">
        <w:trPr>
          <w:trHeight w:val="1732"/>
        </w:trPr>
        <w:tc>
          <w:tcPr>
            <w:tcW w:w="851" w:type="dxa"/>
            <w:vAlign w:val="center"/>
          </w:tcPr>
          <w:p w14:paraId="0CD9A0A1" w14:textId="77777777" w:rsidR="00AF5F03" w:rsidRPr="00701114" w:rsidRDefault="00AF5F03" w:rsidP="0062446A">
            <w:pPr>
              <w:numPr>
                <w:ilvl w:val="0"/>
                <w:numId w:val="26"/>
              </w:numPr>
              <w:jc w:val="center"/>
              <w:rPr>
                <w:sz w:val="26"/>
                <w:szCs w:val="26"/>
              </w:rPr>
            </w:pPr>
          </w:p>
        </w:tc>
        <w:tc>
          <w:tcPr>
            <w:tcW w:w="1687" w:type="dxa"/>
          </w:tcPr>
          <w:p w14:paraId="13F3FA69" w14:textId="77777777" w:rsidR="00AF5F03" w:rsidRDefault="00AF5F03" w:rsidP="0062446A">
            <w:pPr>
              <w:jc w:val="center"/>
              <w:rPr>
                <w:sz w:val="26"/>
                <w:szCs w:val="26"/>
              </w:rPr>
            </w:pPr>
            <w:r>
              <w:rPr>
                <w:sz w:val="26"/>
                <w:szCs w:val="26"/>
              </w:rPr>
              <w:t>Điều 25</w:t>
            </w:r>
          </w:p>
        </w:tc>
        <w:tc>
          <w:tcPr>
            <w:tcW w:w="4302" w:type="dxa"/>
            <w:vAlign w:val="center"/>
          </w:tcPr>
          <w:p w14:paraId="11DA5149" w14:textId="77777777" w:rsidR="00AF5F03" w:rsidRPr="00AF5F03" w:rsidRDefault="00AF5F03" w:rsidP="00AF5F03">
            <w:pPr>
              <w:pStyle w:val="Heading3"/>
              <w:spacing w:before="0" w:after="120"/>
              <w:jc w:val="both"/>
              <w:rPr>
                <w:rFonts w:ascii="Times New Roman" w:hAnsi="Times New Roman"/>
                <w:b w:val="0"/>
                <w:bCs w:val="0"/>
                <w:lang w:val="nl-NL"/>
              </w:rPr>
            </w:pPr>
            <w:r w:rsidRPr="00AF5F03">
              <w:rPr>
                <w:rFonts w:ascii="Times New Roman" w:hAnsi="Times New Roman"/>
                <w:b w:val="0"/>
                <w:bCs w:val="0"/>
                <w:lang w:val="nl-NL"/>
              </w:rPr>
              <w:t xml:space="preserve">Điều 25. Bổ nhiệm, miễn nhiệm, nhiệm vụ và quyền hạn của Tổng giám đốc </w:t>
            </w:r>
            <w:r w:rsidRPr="00863BBC">
              <w:rPr>
                <w:rFonts w:ascii="Times New Roman" w:hAnsi="Times New Roman"/>
                <w:b w:val="0"/>
                <w:bCs w:val="0"/>
                <w:strike/>
                <w:lang w:val="nl-NL"/>
              </w:rPr>
              <w:t>điều hành</w:t>
            </w:r>
          </w:p>
          <w:p w14:paraId="7F6D0767" w14:textId="77777777" w:rsidR="00AF5F03" w:rsidRPr="00AF5F03" w:rsidRDefault="00AF5F03" w:rsidP="00AF5F03">
            <w:pPr>
              <w:spacing w:after="120"/>
              <w:jc w:val="both"/>
              <w:rPr>
                <w:sz w:val="26"/>
                <w:szCs w:val="26"/>
              </w:rPr>
            </w:pPr>
            <w:r w:rsidRPr="00AF5F03">
              <w:rPr>
                <w:sz w:val="26"/>
                <w:szCs w:val="26"/>
              </w:rPr>
              <w:t>1. Hội đồng quản trị bổ nhiệm một (01) thành viên Hội đồng quản trị hoặc thuê người khác làm Tổng giám đốc.</w:t>
            </w:r>
          </w:p>
          <w:p w14:paraId="14C1E8DE" w14:textId="77777777" w:rsidR="00AF5F03" w:rsidRPr="00AF5F03" w:rsidRDefault="00AF5F03" w:rsidP="00AF5F03">
            <w:pPr>
              <w:pStyle w:val="Heading3"/>
              <w:spacing w:before="0" w:after="120"/>
              <w:jc w:val="both"/>
              <w:rPr>
                <w:rFonts w:ascii="Times New Roman" w:hAnsi="Times New Roman"/>
                <w:b w:val="0"/>
                <w:bCs w:val="0"/>
              </w:rPr>
            </w:pPr>
            <w:r w:rsidRPr="00AF5F03">
              <w:rPr>
                <w:rFonts w:ascii="Times New Roman" w:hAnsi="Times New Roman"/>
                <w:b w:val="0"/>
                <w:bCs w:val="0"/>
              </w:rPr>
              <w:t>2. Tổng giám đốc là người điều hành công việc kinh doanh hằng ngày của Tổng công ty; chịu sự giám sát của Hội đồng quản trị; chịu trách nhiệm trước Hội đồng quản trị và trước pháp luật về việc thực hiện quyền, nghĩa vụ được giao</w:t>
            </w:r>
          </w:p>
          <w:p w14:paraId="6E0F363B" w14:textId="77777777" w:rsidR="00AF5F03" w:rsidRPr="00AF5F03" w:rsidRDefault="00AF5F03" w:rsidP="00AF5F03">
            <w:pPr>
              <w:pStyle w:val="Heading3"/>
              <w:spacing w:before="0" w:after="120"/>
              <w:jc w:val="both"/>
              <w:rPr>
                <w:rFonts w:ascii="Times New Roman" w:hAnsi="Times New Roman"/>
                <w:b w:val="0"/>
                <w:bCs w:val="0"/>
                <w:lang w:val="nl-NL"/>
              </w:rPr>
            </w:pPr>
            <w:r w:rsidRPr="00AF5F03">
              <w:rPr>
                <w:rFonts w:ascii="Times New Roman" w:hAnsi="Times New Roman"/>
                <w:b w:val="0"/>
                <w:bCs w:val="0"/>
                <w:lang w:val="nl-NL"/>
              </w:rPr>
              <w:t xml:space="preserve"> 3. Nhiệm kỳ: Nhiệm kỳ của Tổng giám đốc điều hành là năm (05) năm và có thể được tái bổ nhiệm. Việc bổ nhiệm có thể hết hiệu lực căn cứ vào các quy định tại hợp đồng lao động hoặc quy định của Tổng công ty. Tổng giám đốc điều hành không phải là  người mà pháp luật cấm giữ chức vụ này và phải được Bộ Tài chính chấp thuận bằng văn bản.</w:t>
            </w:r>
          </w:p>
          <w:p w14:paraId="58A06E5E" w14:textId="77777777" w:rsidR="00AF5F03" w:rsidRPr="00AF5F03" w:rsidRDefault="00AF5F03" w:rsidP="00AF5F03">
            <w:pPr>
              <w:pStyle w:val="Heading3"/>
              <w:spacing w:before="0" w:after="120"/>
              <w:jc w:val="both"/>
              <w:rPr>
                <w:rFonts w:ascii="Times New Roman" w:hAnsi="Times New Roman"/>
                <w:b w:val="0"/>
                <w:bCs w:val="0"/>
                <w:lang w:val="nl-NL"/>
              </w:rPr>
            </w:pPr>
            <w:r w:rsidRPr="00AF5F03">
              <w:rPr>
                <w:rFonts w:ascii="Times New Roman" w:hAnsi="Times New Roman"/>
                <w:b w:val="0"/>
                <w:bCs w:val="0"/>
                <w:lang w:val="nl-NL"/>
              </w:rPr>
              <w:t xml:space="preserve">4. Tổng giám đốc điều hành có những quyền hạn và trách nhiệm sau: </w:t>
            </w:r>
          </w:p>
          <w:p w14:paraId="1DB6EC95" w14:textId="77777777" w:rsidR="00AF5F03" w:rsidRPr="00CE7D1C" w:rsidRDefault="00AF5F03" w:rsidP="00AF5F03">
            <w:pPr>
              <w:spacing w:after="120"/>
              <w:jc w:val="both"/>
              <w:rPr>
                <w:sz w:val="26"/>
                <w:szCs w:val="26"/>
              </w:rPr>
            </w:pPr>
            <w:r w:rsidRPr="00CE7D1C">
              <w:rPr>
                <w:sz w:val="26"/>
                <w:szCs w:val="26"/>
                <w:shd w:val="clear" w:color="auto" w:fill="FFFFFF"/>
              </w:rPr>
              <w:t>a.</w:t>
            </w:r>
            <w:r w:rsidRPr="00CE7D1C">
              <w:rPr>
                <w:sz w:val="26"/>
                <w:szCs w:val="26"/>
              </w:rPr>
              <w:t>  Quyết định các vấn đề liên quan đến công việc kinh doanh hằng ngày của Tổng công ty mà không thuộc thẩm quyền của Hội đồng quản trị;</w:t>
            </w:r>
          </w:p>
          <w:p w14:paraId="0D9EE134" w14:textId="77777777" w:rsidR="00AF5F03" w:rsidRPr="00CE7D1C" w:rsidRDefault="00AF5F03" w:rsidP="00AF5F03">
            <w:pPr>
              <w:spacing w:after="120"/>
              <w:jc w:val="both"/>
              <w:rPr>
                <w:sz w:val="26"/>
                <w:szCs w:val="26"/>
              </w:rPr>
            </w:pPr>
            <w:r w:rsidRPr="00CE7D1C">
              <w:rPr>
                <w:sz w:val="26"/>
                <w:szCs w:val="26"/>
              </w:rPr>
              <w:t>b.</w:t>
            </w:r>
            <w:r>
              <w:rPr>
                <w:sz w:val="26"/>
                <w:szCs w:val="26"/>
              </w:rPr>
              <w:t> </w:t>
            </w:r>
            <w:r w:rsidRPr="00CE7D1C">
              <w:rPr>
                <w:sz w:val="26"/>
                <w:szCs w:val="26"/>
              </w:rPr>
              <w:t>Tổ chức thực hiện các nghị quyết, quyết định của Hội đồng quản trị;</w:t>
            </w:r>
          </w:p>
          <w:p w14:paraId="23324FE6" w14:textId="77777777" w:rsidR="00AF5F03" w:rsidRPr="00CE7D1C" w:rsidRDefault="00AF5F03" w:rsidP="00AF5F03">
            <w:pPr>
              <w:spacing w:after="120"/>
              <w:jc w:val="both"/>
              <w:rPr>
                <w:sz w:val="26"/>
                <w:szCs w:val="26"/>
              </w:rPr>
            </w:pPr>
            <w:r w:rsidRPr="00CE7D1C">
              <w:rPr>
                <w:sz w:val="26"/>
                <w:szCs w:val="26"/>
              </w:rPr>
              <w:t>c.</w:t>
            </w:r>
            <w:r>
              <w:rPr>
                <w:sz w:val="26"/>
                <w:szCs w:val="26"/>
              </w:rPr>
              <w:t> </w:t>
            </w:r>
            <w:r w:rsidRPr="00CE7D1C">
              <w:rPr>
                <w:sz w:val="26"/>
                <w:szCs w:val="26"/>
              </w:rPr>
              <w:t xml:space="preserve">Tổ chức thực hiện kế hoạch kinh </w:t>
            </w:r>
            <w:r w:rsidRPr="00CE7D1C">
              <w:rPr>
                <w:sz w:val="26"/>
                <w:szCs w:val="26"/>
              </w:rPr>
              <w:lastRenderedPageBreak/>
              <w:t>doanh và phương án đầu tư của Tổng công ty;</w:t>
            </w:r>
          </w:p>
          <w:p w14:paraId="5C2FF362" w14:textId="77777777" w:rsidR="00AF5F03" w:rsidRPr="00CE7D1C" w:rsidRDefault="00AF5F03" w:rsidP="00AF5F03">
            <w:pPr>
              <w:spacing w:after="120"/>
              <w:jc w:val="both"/>
              <w:rPr>
                <w:sz w:val="26"/>
                <w:szCs w:val="26"/>
              </w:rPr>
            </w:pPr>
            <w:r w:rsidRPr="00CE7D1C">
              <w:rPr>
                <w:sz w:val="26"/>
                <w:szCs w:val="26"/>
              </w:rPr>
              <w:t>d.</w:t>
            </w:r>
            <w:r>
              <w:rPr>
                <w:sz w:val="26"/>
                <w:szCs w:val="26"/>
              </w:rPr>
              <w:t> </w:t>
            </w:r>
            <w:r w:rsidRPr="00CE7D1C">
              <w:rPr>
                <w:sz w:val="26"/>
                <w:szCs w:val="26"/>
              </w:rPr>
              <w:t>Kiến nghị phương án cơ cấu tổ chức, quy chế quản lý nội bộ của Tổng công ty;</w:t>
            </w:r>
          </w:p>
          <w:p w14:paraId="3698E5B9" w14:textId="77777777" w:rsidR="00AF5F03" w:rsidRPr="00CE7D1C" w:rsidRDefault="00AF5F03" w:rsidP="00AF5F03">
            <w:pPr>
              <w:spacing w:after="120"/>
              <w:jc w:val="both"/>
              <w:rPr>
                <w:sz w:val="26"/>
                <w:szCs w:val="26"/>
              </w:rPr>
            </w:pPr>
            <w:r w:rsidRPr="00CE7D1C">
              <w:rPr>
                <w:sz w:val="26"/>
                <w:szCs w:val="26"/>
              </w:rPr>
              <w:t>e. Bổ nhiệm, miễn nhiệm, bãi nhiệm các chức danh quản lý trong Tổng công ty, trừ các chức danh thuộc thẩm quyền của Hội đồng quản trị;</w:t>
            </w:r>
          </w:p>
          <w:p w14:paraId="22B1ABFF" w14:textId="77777777" w:rsidR="00AF5F03" w:rsidRPr="00CE7D1C" w:rsidRDefault="00AF5F03" w:rsidP="00AF5F03">
            <w:pPr>
              <w:spacing w:after="120"/>
              <w:jc w:val="both"/>
              <w:rPr>
                <w:sz w:val="26"/>
                <w:szCs w:val="26"/>
              </w:rPr>
            </w:pPr>
            <w:r w:rsidRPr="00CE7D1C">
              <w:rPr>
                <w:sz w:val="26"/>
                <w:szCs w:val="26"/>
              </w:rPr>
              <w:t>f. Quyết định tiền lương và lợi ích khác đối với người lao động trong Tổng công ty, kể cả người quản lý thuộc thẩm quyền bổ nhiệm của Tổng giám đốc;</w:t>
            </w:r>
          </w:p>
          <w:p w14:paraId="15201B8C" w14:textId="77777777" w:rsidR="00AF5F03" w:rsidRPr="00CE7D1C" w:rsidRDefault="00AF5F03" w:rsidP="00AF5F03">
            <w:pPr>
              <w:spacing w:after="120"/>
              <w:jc w:val="both"/>
              <w:rPr>
                <w:sz w:val="26"/>
                <w:szCs w:val="26"/>
              </w:rPr>
            </w:pPr>
            <w:r w:rsidRPr="00CE7D1C">
              <w:rPr>
                <w:sz w:val="26"/>
                <w:szCs w:val="26"/>
              </w:rPr>
              <w:t>g.</w:t>
            </w:r>
            <w:r>
              <w:rPr>
                <w:sz w:val="26"/>
                <w:szCs w:val="26"/>
              </w:rPr>
              <w:t> </w:t>
            </w:r>
            <w:r w:rsidRPr="00CE7D1C">
              <w:rPr>
                <w:sz w:val="26"/>
                <w:szCs w:val="26"/>
              </w:rPr>
              <w:t>Tuyển dụng lao động;</w:t>
            </w:r>
          </w:p>
          <w:p w14:paraId="0BCD8F65" w14:textId="77777777" w:rsidR="00AF5F03" w:rsidRPr="00CE7D1C" w:rsidRDefault="00AF5F03" w:rsidP="00AF5F03">
            <w:pPr>
              <w:spacing w:after="120"/>
              <w:jc w:val="both"/>
              <w:rPr>
                <w:sz w:val="26"/>
                <w:szCs w:val="26"/>
              </w:rPr>
            </w:pPr>
            <w:r w:rsidRPr="00CE7D1C">
              <w:rPr>
                <w:sz w:val="26"/>
                <w:szCs w:val="26"/>
              </w:rPr>
              <w:t>h.</w:t>
            </w:r>
            <w:r>
              <w:rPr>
                <w:sz w:val="26"/>
                <w:szCs w:val="26"/>
              </w:rPr>
              <w:t> </w:t>
            </w:r>
            <w:r w:rsidRPr="00CE7D1C">
              <w:rPr>
                <w:sz w:val="26"/>
                <w:szCs w:val="26"/>
              </w:rPr>
              <w:t>Kiến nghị phương án trả cổ tức hoặc xử lý lỗ trong kinh doanh;</w:t>
            </w:r>
          </w:p>
          <w:p w14:paraId="6802DEBF" w14:textId="77777777" w:rsidR="00AF5F03" w:rsidRPr="00CE7D1C" w:rsidRDefault="00AF5F03" w:rsidP="00AF5F03">
            <w:pPr>
              <w:spacing w:after="120"/>
              <w:jc w:val="both"/>
              <w:rPr>
                <w:sz w:val="26"/>
                <w:szCs w:val="26"/>
              </w:rPr>
            </w:pPr>
            <w:r w:rsidRPr="00CE7D1C">
              <w:rPr>
                <w:sz w:val="26"/>
                <w:szCs w:val="26"/>
              </w:rPr>
              <w:t>i.</w:t>
            </w:r>
            <w:r>
              <w:rPr>
                <w:sz w:val="26"/>
                <w:szCs w:val="26"/>
              </w:rPr>
              <w:t> </w:t>
            </w:r>
            <w:r w:rsidRPr="00CE7D1C">
              <w:rPr>
                <w:sz w:val="26"/>
                <w:szCs w:val="26"/>
              </w:rPr>
              <w:t>Quyền và nghĩa vụ khác theo quy định của pháp luật, Điều lệ Tổng công ty và nghị quyết, quyết định của Hội đồng quản trị.</w:t>
            </w:r>
          </w:p>
          <w:p w14:paraId="5128230C" w14:textId="77777777" w:rsidR="00AF5F03" w:rsidRDefault="00AF5F03" w:rsidP="00AF5F03">
            <w:pPr>
              <w:jc w:val="both"/>
              <w:rPr>
                <w:sz w:val="26"/>
                <w:szCs w:val="26"/>
                <w:lang w:val="nl-NL"/>
              </w:rPr>
            </w:pPr>
            <w:r w:rsidRPr="00CE7D1C">
              <w:rPr>
                <w:iCs/>
                <w:sz w:val="26"/>
                <w:szCs w:val="26"/>
                <w:lang w:val="nl-NL"/>
              </w:rPr>
              <w:t xml:space="preserve">5. </w:t>
            </w:r>
            <w:r w:rsidRPr="00CE7D1C">
              <w:rPr>
                <w:sz w:val="26"/>
                <w:szCs w:val="26"/>
                <w:lang w:val="nl-NL"/>
              </w:rPr>
              <w:t>Hội đồng quản trị có thể bãi nhiệm Tổng giám đốc điều hành khi có đa số thành viên Hội đồng quản trị có quyền biểu quyết tán thành và bổ nhiệm một Tổng giám đốc điều hành mới thay thế.</w:t>
            </w:r>
          </w:p>
          <w:p w14:paraId="0BD55F26" w14:textId="77777777" w:rsidR="00AF5F03" w:rsidRPr="00AF5F03" w:rsidRDefault="00AF5F03" w:rsidP="00AF5F03">
            <w:pPr>
              <w:widowControl w:val="0"/>
              <w:jc w:val="center"/>
              <w:rPr>
                <w:b/>
                <w:strike/>
                <w:sz w:val="26"/>
                <w:szCs w:val="26"/>
                <w:lang w:val="nl-NL"/>
              </w:rPr>
            </w:pPr>
          </w:p>
        </w:tc>
        <w:tc>
          <w:tcPr>
            <w:tcW w:w="4828" w:type="dxa"/>
            <w:vAlign w:val="center"/>
          </w:tcPr>
          <w:p w14:paraId="13AFFBD7" w14:textId="77777777" w:rsidR="00AF5F03" w:rsidRPr="00AF5F03" w:rsidRDefault="00AF5F03" w:rsidP="00AF5F03">
            <w:pPr>
              <w:pStyle w:val="Heading3"/>
              <w:spacing w:before="0" w:after="120"/>
              <w:jc w:val="both"/>
              <w:rPr>
                <w:rFonts w:ascii="Times New Roman" w:hAnsi="Times New Roman"/>
                <w:b w:val="0"/>
                <w:bCs w:val="0"/>
                <w:lang w:val="nl-NL"/>
              </w:rPr>
            </w:pPr>
            <w:r w:rsidRPr="00AF5F03">
              <w:rPr>
                <w:rFonts w:ascii="Times New Roman" w:hAnsi="Times New Roman"/>
                <w:b w:val="0"/>
                <w:bCs w:val="0"/>
                <w:lang w:val="nl-NL"/>
              </w:rPr>
              <w:lastRenderedPageBreak/>
              <w:t xml:space="preserve">Điều 25. Bổ nhiệm, miễn nhiệm, nhiệm vụ và quyền hạn của Tổng giám đốc </w:t>
            </w:r>
          </w:p>
          <w:p w14:paraId="615D2213" w14:textId="77777777" w:rsidR="00AF5F03" w:rsidRPr="00AF5F03" w:rsidRDefault="00AF5F03" w:rsidP="00AF5F03">
            <w:pPr>
              <w:spacing w:after="120"/>
              <w:jc w:val="both"/>
              <w:rPr>
                <w:sz w:val="26"/>
                <w:szCs w:val="26"/>
              </w:rPr>
            </w:pPr>
            <w:r w:rsidRPr="00AF5F03">
              <w:rPr>
                <w:sz w:val="26"/>
                <w:szCs w:val="26"/>
              </w:rPr>
              <w:t>1. Hội đồng quản trị bổ nhiệm một (01) thành viên Hội đồng quản trị hoặc thuê người khác làm Tổng giám đốc.</w:t>
            </w:r>
          </w:p>
          <w:p w14:paraId="4CF10ADE" w14:textId="77777777" w:rsidR="00AF5F03" w:rsidRPr="00AF5F03" w:rsidRDefault="00AF5F03" w:rsidP="00AF5F03">
            <w:pPr>
              <w:pStyle w:val="Heading3"/>
              <w:spacing w:before="0" w:after="120"/>
              <w:jc w:val="both"/>
              <w:rPr>
                <w:rFonts w:ascii="Times New Roman" w:hAnsi="Times New Roman"/>
                <w:b w:val="0"/>
                <w:bCs w:val="0"/>
              </w:rPr>
            </w:pPr>
            <w:r w:rsidRPr="00AF5F03">
              <w:rPr>
                <w:rFonts w:ascii="Times New Roman" w:hAnsi="Times New Roman"/>
                <w:b w:val="0"/>
                <w:bCs w:val="0"/>
              </w:rPr>
              <w:t>2. Tổng giám đốc là người điều hành công việc kinh doanh hằng ngày của Tổng công ty; chịu sự giám sát của Hội đồng quản trị; chịu trách nhiệm trước Hội đồng quản trị và trước pháp luật về việc thực hiện quyền, nghĩa vụ được giao</w:t>
            </w:r>
          </w:p>
          <w:p w14:paraId="563AC9ED" w14:textId="77777777" w:rsidR="00AF5F03" w:rsidRPr="00AF5F03" w:rsidRDefault="00AF5F03" w:rsidP="00AF5F03">
            <w:pPr>
              <w:pStyle w:val="Heading3"/>
              <w:spacing w:before="0" w:after="120"/>
              <w:jc w:val="both"/>
              <w:rPr>
                <w:rFonts w:ascii="Times New Roman" w:hAnsi="Times New Roman"/>
                <w:b w:val="0"/>
                <w:bCs w:val="0"/>
                <w:lang w:val="nl-NL"/>
              </w:rPr>
            </w:pPr>
            <w:r w:rsidRPr="00AF5F03">
              <w:rPr>
                <w:rFonts w:ascii="Times New Roman" w:hAnsi="Times New Roman"/>
                <w:b w:val="0"/>
                <w:bCs w:val="0"/>
                <w:lang w:val="nl-NL"/>
              </w:rPr>
              <w:t xml:space="preserve"> 3. Nhiệm kỳ: Nhiệm kỳ của Tổng giám đốc là năm (05) năm và có thể được tái bổ nhiệm. Việc bổ nhiệm có thể hết hiệu lực căn cứ vào các quy định tại hợp đồng lao động hoặc quy định của Tổng công ty. Tổng giám đốc không phải là  người mà pháp luật cấm giữ chức vụ này và phải được Bộ Tài chính chấp thuận bằng văn bản.</w:t>
            </w:r>
          </w:p>
          <w:p w14:paraId="28617CCA" w14:textId="77777777" w:rsidR="00AF5F03" w:rsidRPr="00AF5F03" w:rsidRDefault="00AF5F03" w:rsidP="00AF5F03">
            <w:pPr>
              <w:pStyle w:val="Heading3"/>
              <w:spacing w:before="0" w:after="120"/>
              <w:jc w:val="both"/>
              <w:rPr>
                <w:rFonts w:ascii="Times New Roman" w:hAnsi="Times New Roman"/>
                <w:b w:val="0"/>
                <w:bCs w:val="0"/>
                <w:lang w:val="nl-NL"/>
              </w:rPr>
            </w:pPr>
            <w:r w:rsidRPr="00AF5F03">
              <w:rPr>
                <w:rFonts w:ascii="Times New Roman" w:hAnsi="Times New Roman"/>
                <w:b w:val="0"/>
                <w:bCs w:val="0"/>
                <w:lang w:val="nl-NL"/>
              </w:rPr>
              <w:t xml:space="preserve">4. Tổng giám đốc có những quyền hạn và trách nhiệm sau: </w:t>
            </w:r>
          </w:p>
          <w:p w14:paraId="3EFD163E" w14:textId="77777777" w:rsidR="00AF5F03" w:rsidRPr="00AF5F03" w:rsidRDefault="00AF5F03" w:rsidP="00AF5F03">
            <w:pPr>
              <w:spacing w:after="120"/>
              <w:jc w:val="both"/>
              <w:rPr>
                <w:sz w:val="26"/>
                <w:szCs w:val="26"/>
              </w:rPr>
            </w:pPr>
            <w:r w:rsidRPr="00AF5F03">
              <w:rPr>
                <w:sz w:val="26"/>
                <w:szCs w:val="26"/>
                <w:shd w:val="clear" w:color="auto" w:fill="FFFFFF"/>
              </w:rPr>
              <w:t>a.</w:t>
            </w:r>
            <w:r w:rsidRPr="00AF5F03">
              <w:rPr>
                <w:sz w:val="26"/>
                <w:szCs w:val="26"/>
              </w:rPr>
              <w:t>  Quyết định các vấn đề liên quan đến công việc kinh doanh hằng ngày của Tổng công ty mà không thuộc thẩm quyền của Hội đồng quản trị;</w:t>
            </w:r>
          </w:p>
          <w:p w14:paraId="0E4B1F98" w14:textId="77777777" w:rsidR="00AF5F03" w:rsidRPr="00AF5F03" w:rsidRDefault="00AF5F03" w:rsidP="00AF5F03">
            <w:pPr>
              <w:spacing w:after="120"/>
              <w:jc w:val="both"/>
              <w:rPr>
                <w:sz w:val="26"/>
                <w:szCs w:val="26"/>
              </w:rPr>
            </w:pPr>
            <w:r w:rsidRPr="00AF5F03">
              <w:rPr>
                <w:sz w:val="26"/>
                <w:szCs w:val="26"/>
              </w:rPr>
              <w:t>b. Tổ chức thực hiện các nghị quyết, quyết định của Hội đồng quản trị;</w:t>
            </w:r>
          </w:p>
          <w:p w14:paraId="7307C03D" w14:textId="77777777" w:rsidR="00AF5F03" w:rsidRPr="00AF5F03" w:rsidRDefault="00AF5F03" w:rsidP="00AF5F03">
            <w:pPr>
              <w:spacing w:after="120"/>
              <w:jc w:val="both"/>
              <w:rPr>
                <w:sz w:val="26"/>
                <w:szCs w:val="26"/>
              </w:rPr>
            </w:pPr>
            <w:r w:rsidRPr="00AF5F03">
              <w:rPr>
                <w:sz w:val="26"/>
                <w:szCs w:val="26"/>
              </w:rPr>
              <w:t>c. Tổ chức thực hiện kế hoạch kinh doanh và phương án đầu tư của Tổng công ty;</w:t>
            </w:r>
          </w:p>
          <w:p w14:paraId="0B66E2F1" w14:textId="77777777" w:rsidR="00AF5F03" w:rsidRPr="00AF5F03" w:rsidRDefault="00AF5F03" w:rsidP="00AF5F03">
            <w:pPr>
              <w:spacing w:after="120"/>
              <w:jc w:val="both"/>
              <w:rPr>
                <w:sz w:val="26"/>
                <w:szCs w:val="26"/>
              </w:rPr>
            </w:pPr>
            <w:r w:rsidRPr="00AF5F03">
              <w:rPr>
                <w:sz w:val="26"/>
                <w:szCs w:val="26"/>
              </w:rPr>
              <w:t>d. Kiến nghị phương án cơ cấu tổ chức, quy chế quản lý nội bộ của Tổng công ty;</w:t>
            </w:r>
          </w:p>
          <w:p w14:paraId="051CF7EB" w14:textId="77777777" w:rsidR="00AF5F03" w:rsidRPr="00AF5F03" w:rsidRDefault="00AF5F03" w:rsidP="00AF5F03">
            <w:pPr>
              <w:spacing w:after="120"/>
              <w:jc w:val="both"/>
              <w:rPr>
                <w:sz w:val="26"/>
                <w:szCs w:val="26"/>
              </w:rPr>
            </w:pPr>
            <w:r w:rsidRPr="00AF5F03">
              <w:rPr>
                <w:sz w:val="26"/>
                <w:szCs w:val="26"/>
              </w:rPr>
              <w:lastRenderedPageBreak/>
              <w:t>e. Bổ nhiệm, miễn nhiệm, bãi nhiệm các chức danh quản lý trong Tổng công ty, trừ các chức danh thuộc thẩm quyền của Hội đồng quản trị;</w:t>
            </w:r>
          </w:p>
          <w:p w14:paraId="435FA6F9" w14:textId="77777777" w:rsidR="00AF5F03" w:rsidRPr="00AF5F03" w:rsidRDefault="00AF5F03" w:rsidP="00AF5F03">
            <w:pPr>
              <w:spacing w:after="120"/>
              <w:jc w:val="both"/>
              <w:rPr>
                <w:sz w:val="26"/>
                <w:szCs w:val="26"/>
              </w:rPr>
            </w:pPr>
            <w:r w:rsidRPr="00AF5F03">
              <w:rPr>
                <w:sz w:val="26"/>
                <w:szCs w:val="26"/>
              </w:rPr>
              <w:t>f. Quyết định tiền lương và lợi ích khác đối với người lao động trong Tổng công ty, kể cả người quản lý thuộc thẩm quyền bổ nhiệm của Tổng giám đốc;</w:t>
            </w:r>
          </w:p>
          <w:p w14:paraId="47956590" w14:textId="77777777" w:rsidR="00AF5F03" w:rsidRPr="00AF5F03" w:rsidRDefault="00AF5F03" w:rsidP="00AF5F03">
            <w:pPr>
              <w:spacing w:after="120"/>
              <w:jc w:val="both"/>
              <w:rPr>
                <w:sz w:val="26"/>
                <w:szCs w:val="26"/>
              </w:rPr>
            </w:pPr>
            <w:r w:rsidRPr="00AF5F03">
              <w:rPr>
                <w:sz w:val="26"/>
                <w:szCs w:val="26"/>
              </w:rPr>
              <w:t>g. Tuyển dụng lao động;</w:t>
            </w:r>
          </w:p>
          <w:p w14:paraId="49662D9D" w14:textId="77777777" w:rsidR="00AF5F03" w:rsidRPr="00AF5F03" w:rsidRDefault="00AF5F03" w:rsidP="00AF5F03">
            <w:pPr>
              <w:spacing w:after="120"/>
              <w:jc w:val="both"/>
              <w:rPr>
                <w:sz w:val="26"/>
                <w:szCs w:val="26"/>
              </w:rPr>
            </w:pPr>
            <w:r w:rsidRPr="00AF5F03">
              <w:rPr>
                <w:sz w:val="26"/>
                <w:szCs w:val="26"/>
              </w:rPr>
              <w:t>h. Kiến nghị phương án trả cổ tức hoặc xử lý lỗ trong kinh doanh;</w:t>
            </w:r>
          </w:p>
          <w:p w14:paraId="6FF0B3E1" w14:textId="77777777" w:rsidR="00AF5F03" w:rsidRPr="00AF5F03" w:rsidRDefault="00AF5F03" w:rsidP="00AF5F03">
            <w:pPr>
              <w:spacing w:after="120"/>
              <w:jc w:val="both"/>
              <w:rPr>
                <w:sz w:val="26"/>
                <w:szCs w:val="26"/>
              </w:rPr>
            </w:pPr>
            <w:r w:rsidRPr="00AF5F03">
              <w:rPr>
                <w:sz w:val="26"/>
                <w:szCs w:val="26"/>
              </w:rPr>
              <w:t>i. Quyền và nghĩa vụ khác theo quy định của pháp luật, Điều lệ Tổng công ty và nghị quyết, quyết định của Hội đồng quản trị.</w:t>
            </w:r>
          </w:p>
          <w:p w14:paraId="0031A266" w14:textId="77777777" w:rsidR="00AF5F03" w:rsidRPr="00AF5F03" w:rsidRDefault="00AF5F03" w:rsidP="00AF5F03">
            <w:pPr>
              <w:jc w:val="both"/>
              <w:rPr>
                <w:sz w:val="26"/>
                <w:szCs w:val="26"/>
                <w:lang w:val="nl-NL"/>
              </w:rPr>
            </w:pPr>
            <w:r w:rsidRPr="00AF5F03">
              <w:rPr>
                <w:iCs/>
                <w:sz w:val="26"/>
                <w:szCs w:val="26"/>
                <w:lang w:val="nl-NL"/>
              </w:rPr>
              <w:t xml:space="preserve">5. </w:t>
            </w:r>
            <w:r w:rsidRPr="00AF5F03">
              <w:rPr>
                <w:sz w:val="26"/>
                <w:szCs w:val="26"/>
                <w:lang w:val="nl-NL"/>
              </w:rPr>
              <w:t>Hội đồng quản trị có thể bãi nhiệm Tổng giám đốc khi có đa số thành viên Hội đồng quản trị có quyền biểu quyết tán thành và bổ nhiệm một Tổng giám đốc mới thay thế.</w:t>
            </w:r>
          </w:p>
          <w:p w14:paraId="0B2FC6A6" w14:textId="77777777" w:rsidR="00AF5F03" w:rsidRPr="00AF5F03" w:rsidRDefault="00AF5F03" w:rsidP="00AF5F03">
            <w:pPr>
              <w:widowControl w:val="0"/>
              <w:jc w:val="center"/>
              <w:rPr>
                <w:sz w:val="26"/>
                <w:szCs w:val="26"/>
                <w:lang w:val="nl-NL"/>
              </w:rPr>
            </w:pPr>
          </w:p>
        </w:tc>
        <w:tc>
          <w:tcPr>
            <w:tcW w:w="2649" w:type="dxa"/>
            <w:vAlign w:val="center"/>
          </w:tcPr>
          <w:p w14:paraId="42E48C7F" w14:textId="77777777" w:rsidR="00AF5F03" w:rsidRDefault="00AF5F03" w:rsidP="0062446A">
            <w:pPr>
              <w:tabs>
                <w:tab w:val="num" w:pos="897"/>
              </w:tabs>
              <w:jc w:val="both"/>
              <w:rPr>
                <w:sz w:val="26"/>
                <w:szCs w:val="26"/>
              </w:rPr>
            </w:pPr>
            <w:r>
              <w:rPr>
                <w:sz w:val="26"/>
                <w:szCs w:val="26"/>
              </w:rPr>
              <w:lastRenderedPageBreak/>
              <w:t>Bỏ cụm từ “điều hành” sau “Tổng giám đốc” để phù hợp với Điều lệ</w:t>
            </w:r>
          </w:p>
        </w:tc>
      </w:tr>
      <w:tr w:rsidR="00AF5F03" w:rsidRPr="00701114" w14:paraId="2D3675F4" w14:textId="77777777" w:rsidTr="0062446A">
        <w:trPr>
          <w:trHeight w:val="1732"/>
        </w:trPr>
        <w:tc>
          <w:tcPr>
            <w:tcW w:w="851" w:type="dxa"/>
            <w:vAlign w:val="center"/>
          </w:tcPr>
          <w:p w14:paraId="66C3CC6D" w14:textId="77777777" w:rsidR="00AF5F03" w:rsidRPr="00701114" w:rsidRDefault="00AF5F03" w:rsidP="0062446A">
            <w:pPr>
              <w:numPr>
                <w:ilvl w:val="0"/>
                <w:numId w:val="26"/>
              </w:numPr>
              <w:jc w:val="center"/>
              <w:rPr>
                <w:sz w:val="26"/>
                <w:szCs w:val="26"/>
              </w:rPr>
            </w:pPr>
          </w:p>
        </w:tc>
        <w:tc>
          <w:tcPr>
            <w:tcW w:w="1687" w:type="dxa"/>
          </w:tcPr>
          <w:p w14:paraId="00865B53" w14:textId="77777777" w:rsidR="00AF5F03" w:rsidRDefault="00AF5F03" w:rsidP="0062446A">
            <w:pPr>
              <w:jc w:val="center"/>
              <w:rPr>
                <w:sz w:val="26"/>
                <w:szCs w:val="26"/>
              </w:rPr>
            </w:pPr>
            <w:r>
              <w:rPr>
                <w:sz w:val="26"/>
                <w:szCs w:val="26"/>
              </w:rPr>
              <w:t>Khoản 1 Điều 27</w:t>
            </w:r>
          </w:p>
        </w:tc>
        <w:tc>
          <w:tcPr>
            <w:tcW w:w="4302" w:type="dxa"/>
            <w:vAlign w:val="center"/>
          </w:tcPr>
          <w:p w14:paraId="3D6A3DF1" w14:textId="77777777" w:rsidR="00AF5F03" w:rsidRPr="00CE7D1C" w:rsidRDefault="00AF5F03" w:rsidP="00AF5F03">
            <w:pPr>
              <w:pStyle w:val="NormalWeb"/>
              <w:shd w:val="clear" w:color="auto" w:fill="FFFFFF"/>
              <w:spacing w:after="120"/>
              <w:jc w:val="both"/>
              <w:rPr>
                <w:sz w:val="26"/>
                <w:szCs w:val="26"/>
              </w:rPr>
            </w:pPr>
            <w:r w:rsidRPr="00CE7D1C">
              <w:rPr>
                <w:sz w:val="26"/>
                <w:szCs w:val="26"/>
              </w:rPr>
              <w:t xml:space="preserve">1. Hội đồng quản trị </w:t>
            </w:r>
            <w:r>
              <w:rPr>
                <w:sz w:val="26"/>
                <w:szCs w:val="26"/>
                <w:lang w:val="en-US"/>
              </w:rPr>
              <w:t>chỉ định</w:t>
            </w:r>
            <w:r w:rsidRPr="00CE7D1C">
              <w:rPr>
                <w:sz w:val="26"/>
                <w:szCs w:val="26"/>
              </w:rPr>
              <w:t xml:space="preserve"> ít nhất một (01) người làm Người phụ trách quản trị Tổng công ty để hỗ trợ hoạt động quản trị Tổng công ty được tiến hành một cách có hiệu quả. Nhiệm kỳ của Người phụ trách quản trị Tổng công ty do Hội đồng quản trị quyết định, tối đa là năm (05) năm.</w:t>
            </w:r>
          </w:p>
          <w:p w14:paraId="2FD728A2" w14:textId="77777777" w:rsidR="00AF5F03" w:rsidRPr="00AF5F03" w:rsidRDefault="00AF5F03" w:rsidP="00AF5F03">
            <w:pPr>
              <w:pStyle w:val="Heading3"/>
              <w:spacing w:before="0" w:after="120"/>
              <w:jc w:val="both"/>
              <w:rPr>
                <w:rFonts w:ascii="Times New Roman" w:hAnsi="Times New Roman"/>
                <w:b w:val="0"/>
                <w:bCs w:val="0"/>
                <w:lang w:val="nl-NL"/>
              </w:rPr>
            </w:pPr>
          </w:p>
        </w:tc>
        <w:tc>
          <w:tcPr>
            <w:tcW w:w="4828" w:type="dxa"/>
            <w:vAlign w:val="center"/>
          </w:tcPr>
          <w:p w14:paraId="6C3EAB3C" w14:textId="77777777" w:rsidR="00AF5F03" w:rsidRPr="00CE7D1C" w:rsidRDefault="00AF5F03" w:rsidP="00AF5F03">
            <w:pPr>
              <w:pStyle w:val="NormalWeb"/>
              <w:shd w:val="clear" w:color="auto" w:fill="FFFFFF"/>
              <w:spacing w:after="120"/>
              <w:jc w:val="both"/>
              <w:rPr>
                <w:sz w:val="26"/>
                <w:szCs w:val="26"/>
              </w:rPr>
            </w:pPr>
            <w:r w:rsidRPr="00CE7D1C">
              <w:rPr>
                <w:sz w:val="26"/>
                <w:szCs w:val="26"/>
              </w:rPr>
              <w:t xml:space="preserve">1. Hội đồng quản trị </w:t>
            </w:r>
            <w:r w:rsidRPr="00AF5F03">
              <w:rPr>
                <w:sz w:val="26"/>
                <w:szCs w:val="26"/>
                <w:u w:val="single"/>
              </w:rPr>
              <w:t>bổ nhiệm</w:t>
            </w:r>
            <w:r w:rsidRPr="00CE7D1C">
              <w:rPr>
                <w:sz w:val="26"/>
                <w:szCs w:val="26"/>
              </w:rPr>
              <w:t xml:space="preserve"> ít nhất một (01) người làm Người phụ trách quản trị Tổng công ty để hỗ trợ hoạt động quản trị Tổng công ty được tiến hành một cách có hiệu quả. Nhiệm kỳ của Người phụ trách quản trị Tổng công ty do Hội đồng quản trị quyết định, tối đa là năm (05) năm.</w:t>
            </w:r>
          </w:p>
          <w:p w14:paraId="3B3C1B93" w14:textId="77777777" w:rsidR="00AF5F03" w:rsidRPr="00AF5F03" w:rsidRDefault="00AF5F03" w:rsidP="00AF5F03">
            <w:pPr>
              <w:pStyle w:val="Heading3"/>
              <w:spacing w:before="0" w:after="120"/>
              <w:jc w:val="both"/>
              <w:rPr>
                <w:rFonts w:ascii="Times New Roman" w:hAnsi="Times New Roman"/>
                <w:b w:val="0"/>
                <w:bCs w:val="0"/>
                <w:lang w:val="nl-NL"/>
              </w:rPr>
            </w:pPr>
          </w:p>
        </w:tc>
        <w:tc>
          <w:tcPr>
            <w:tcW w:w="2649" w:type="dxa"/>
            <w:vAlign w:val="center"/>
          </w:tcPr>
          <w:p w14:paraId="0BFABD22" w14:textId="77777777" w:rsidR="00AF5F03" w:rsidRDefault="00AF5F03" w:rsidP="0062446A">
            <w:pPr>
              <w:tabs>
                <w:tab w:val="num" w:pos="897"/>
              </w:tabs>
              <w:jc w:val="both"/>
              <w:rPr>
                <w:sz w:val="26"/>
                <w:szCs w:val="26"/>
              </w:rPr>
            </w:pPr>
            <w:r>
              <w:rPr>
                <w:sz w:val="26"/>
                <w:szCs w:val="26"/>
              </w:rPr>
              <w:t>Hiệu chỉnh để phù hợp với quy định của pháp luật</w:t>
            </w:r>
          </w:p>
        </w:tc>
      </w:tr>
    </w:tbl>
    <w:p w14:paraId="1D57D8C0" w14:textId="77777777" w:rsidR="00891DB1" w:rsidRPr="00701114" w:rsidRDefault="00891DB1" w:rsidP="0062446A">
      <w:pPr>
        <w:tabs>
          <w:tab w:val="left" w:pos="5895"/>
        </w:tabs>
        <w:jc w:val="both"/>
        <w:rPr>
          <w:sz w:val="26"/>
          <w:szCs w:val="26"/>
        </w:rPr>
      </w:pPr>
    </w:p>
    <w:sectPr w:rsidR="00891DB1" w:rsidRPr="00701114" w:rsidSect="008B526A">
      <w:footerReference w:type="default" r:id="rId8"/>
      <w:pgSz w:w="16840" w:h="11907" w:orient="landscape" w:code="9"/>
      <w:pgMar w:top="630" w:right="1134" w:bottom="630" w:left="1474" w:header="720" w:footer="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41B1" w14:textId="77777777" w:rsidR="0093524F" w:rsidRDefault="0093524F" w:rsidP="00EE30EA">
      <w:r>
        <w:separator/>
      </w:r>
    </w:p>
  </w:endnote>
  <w:endnote w:type="continuationSeparator" w:id="0">
    <w:p w14:paraId="50D3F749" w14:textId="77777777" w:rsidR="0093524F" w:rsidRDefault="0093524F" w:rsidP="00E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B5C0" w14:textId="77777777" w:rsidR="007F6600" w:rsidRDefault="007F6600">
    <w:pPr>
      <w:pStyle w:val="Footer"/>
      <w:jc w:val="right"/>
    </w:pPr>
    <w:r>
      <w:fldChar w:fldCharType="begin"/>
    </w:r>
    <w:r>
      <w:instrText xml:space="preserve"> PAGE   \* MERGEFORMAT </w:instrText>
    </w:r>
    <w:r>
      <w:fldChar w:fldCharType="separate"/>
    </w:r>
    <w:r w:rsidR="007A7727">
      <w:rPr>
        <w:noProof/>
      </w:rPr>
      <w:t>3</w:t>
    </w:r>
    <w:r>
      <w:rPr>
        <w:noProof/>
      </w:rPr>
      <w:fldChar w:fldCharType="end"/>
    </w:r>
  </w:p>
  <w:p w14:paraId="521863CF" w14:textId="77777777" w:rsidR="007F6600" w:rsidRDefault="007F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F643" w14:textId="77777777" w:rsidR="0093524F" w:rsidRDefault="0093524F" w:rsidP="00EE30EA">
      <w:r>
        <w:separator/>
      </w:r>
    </w:p>
  </w:footnote>
  <w:footnote w:type="continuationSeparator" w:id="0">
    <w:p w14:paraId="1FF23751" w14:textId="77777777" w:rsidR="0093524F" w:rsidRDefault="0093524F" w:rsidP="00EE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37"/>
    <w:multiLevelType w:val="hybridMultilevel"/>
    <w:tmpl w:val="5FE2DBC6"/>
    <w:lvl w:ilvl="0" w:tplc="8154D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43774"/>
    <w:multiLevelType w:val="multilevel"/>
    <w:tmpl w:val="B560CB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7339B"/>
    <w:multiLevelType w:val="hybridMultilevel"/>
    <w:tmpl w:val="DC900186"/>
    <w:lvl w:ilvl="0" w:tplc="44C0DB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41E2A"/>
    <w:multiLevelType w:val="hybridMultilevel"/>
    <w:tmpl w:val="F63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FB2"/>
    <w:multiLevelType w:val="hybridMultilevel"/>
    <w:tmpl w:val="4FACE33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60D5F"/>
    <w:multiLevelType w:val="hybridMultilevel"/>
    <w:tmpl w:val="373C5F40"/>
    <w:lvl w:ilvl="0" w:tplc="878EE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D7C61"/>
    <w:multiLevelType w:val="hybridMultilevel"/>
    <w:tmpl w:val="C660FE98"/>
    <w:lvl w:ilvl="0" w:tplc="A3186486">
      <w:start w:val="1"/>
      <w:numFmt w:val="decimal"/>
      <w:lvlText w:val="%1."/>
      <w:lvlJc w:val="left"/>
      <w:pPr>
        <w:tabs>
          <w:tab w:val="num" w:pos="1077"/>
        </w:tabs>
        <w:ind w:left="0" w:firstLine="737"/>
      </w:pPr>
      <w:rPr>
        <w:rFonts w:hint="default"/>
      </w:rPr>
    </w:lvl>
    <w:lvl w:ilvl="1" w:tplc="CB2CD7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4656C"/>
    <w:multiLevelType w:val="hybridMultilevel"/>
    <w:tmpl w:val="26F03A2C"/>
    <w:lvl w:ilvl="0" w:tplc="9688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E26A2"/>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7989"/>
    <w:multiLevelType w:val="hybridMultilevel"/>
    <w:tmpl w:val="C05C0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31416"/>
    <w:multiLevelType w:val="multilevel"/>
    <w:tmpl w:val="AC1A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3BA7"/>
    <w:multiLevelType w:val="hybridMultilevel"/>
    <w:tmpl w:val="356A94D6"/>
    <w:lvl w:ilvl="0" w:tplc="F886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B51B5"/>
    <w:multiLevelType w:val="hybridMultilevel"/>
    <w:tmpl w:val="8224FDCE"/>
    <w:lvl w:ilvl="0" w:tplc="C870290C">
      <w:start w:val="1"/>
      <w:numFmt w:val="bullet"/>
      <w:lvlText w:val=""/>
      <w:lvlJc w:val="right"/>
      <w:pPr>
        <w:ind w:left="720" w:hanging="360"/>
      </w:pPr>
      <w:rPr>
        <w:rFonts w:ascii="Symbol" w:hAnsi="Symbol" w:hint="default"/>
        <w:b w:val="0"/>
        <w:i/>
      </w:rPr>
    </w:lvl>
    <w:lvl w:ilvl="1" w:tplc="04090003">
      <w:start w:val="1"/>
      <w:numFmt w:val="bullet"/>
      <w:lvlText w:val="o"/>
      <w:lvlJc w:val="left"/>
      <w:pPr>
        <w:ind w:left="1440" w:hanging="360"/>
      </w:pPr>
      <w:rPr>
        <w:rFonts w:ascii="Courier New" w:hAnsi="Courier New" w:cs="Courier New" w:hint="default"/>
      </w:rPr>
    </w:lvl>
    <w:lvl w:ilvl="2" w:tplc="89E48504">
      <w:start w:val="1"/>
      <w:numFmt w:val="bullet"/>
      <w:lvlText w:val="o"/>
      <w:lvlJc w:val="left"/>
      <w:pPr>
        <w:ind w:left="2070" w:hanging="360"/>
      </w:pPr>
      <w:rPr>
        <w:rFonts w:ascii="Courier New" w:hAnsi="Courier Ne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265"/>
    <w:multiLevelType w:val="hybridMultilevel"/>
    <w:tmpl w:val="343A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107C89"/>
    <w:multiLevelType w:val="hybridMultilevel"/>
    <w:tmpl w:val="597EA9EE"/>
    <w:lvl w:ilvl="0" w:tplc="B6BCE3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63275"/>
    <w:multiLevelType w:val="hybridMultilevel"/>
    <w:tmpl w:val="54BC2EC8"/>
    <w:lvl w:ilvl="0" w:tplc="F8B28634">
      <w:start w:val="1"/>
      <w:numFmt w:val="decimal"/>
      <w:lvlText w:val="%1."/>
      <w:lvlJc w:val="left"/>
      <w:pPr>
        <w:tabs>
          <w:tab w:val="num" w:pos="1077"/>
        </w:tabs>
        <w:ind w:left="0" w:firstLine="73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26B1A"/>
    <w:multiLevelType w:val="multilevel"/>
    <w:tmpl w:val="1F66D12E"/>
    <w:lvl w:ilvl="0">
      <w:start w:val="10"/>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5BA56F7"/>
    <w:multiLevelType w:val="singleLevel"/>
    <w:tmpl w:val="22EE7210"/>
    <w:lvl w:ilvl="0">
      <w:start w:val="1"/>
      <w:numFmt w:val="decimal"/>
      <w:lvlText w:val="%1."/>
      <w:lvlJc w:val="left"/>
      <w:pPr>
        <w:tabs>
          <w:tab w:val="num" w:pos="840"/>
        </w:tabs>
        <w:ind w:left="840" w:hanging="360"/>
      </w:pPr>
      <w:rPr>
        <w:rFonts w:hint="default"/>
      </w:rPr>
    </w:lvl>
  </w:abstractNum>
  <w:abstractNum w:abstractNumId="20" w15:restartNumberingAfterBreak="0">
    <w:nsid w:val="699547C0"/>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F27"/>
    <w:multiLevelType w:val="hybridMultilevel"/>
    <w:tmpl w:val="88C45B52"/>
    <w:lvl w:ilvl="0" w:tplc="D7AC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065B56"/>
    <w:multiLevelType w:val="hybridMultilevel"/>
    <w:tmpl w:val="86B0B732"/>
    <w:lvl w:ilvl="0" w:tplc="A3E4E48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C48D6"/>
    <w:multiLevelType w:val="hybridMultilevel"/>
    <w:tmpl w:val="EECCAD80"/>
    <w:lvl w:ilvl="0" w:tplc="9AE0F9AC">
      <w:start w:val="1"/>
      <w:numFmt w:val="decimal"/>
      <w:lvlText w:val="%1."/>
      <w:lvlJc w:val="left"/>
      <w:pPr>
        <w:tabs>
          <w:tab w:val="num" w:pos="1240"/>
        </w:tabs>
        <w:ind w:left="163"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D27AE1"/>
    <w:multiLevelType w:val="hybridMultilevel"/>
    <w:tmpl w:val="12B62D2E"/>
    <w:lvl w:ilvl="0" w:tplc="EE1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941DB"/>
    <w:multiLevelType w:val="hybridMultilevel"/>
    <w:tmpl w:val="C7FCAB0A"/>
    <w:lvl w:ilvl="0" w:tplc="FC24B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9336193">
    <w:abstractNumId w:val="19"/>
  </w:num>
  <w:num w:numId="2" w16cid:durableId="1112940634">
    <w:abstractNumId w:val="24"/>
  </w:num>
  <w:num w:numId="3" w16cid:durableId="1299727984">
    <w:abstractNumId w:val="8"/>
  </w:num>
  <w:num w:numId="4" w16cid:durableId="1942564336">
    <w:abstractNumId w:val="21"/>
  </w:num>
  <w:num w:numId="5" w16cid:durableId="17894605">
    <w:abstractNumId w:val="16"/>
  </w:num>
  <w:num w:numId="6" w16cid:durableId="1354107761">
    <w:abstractNumId w:val="25"/>
  </w:num>
  <w:num w:numId="7" w16cid:durableId="583533756">
    <w:abstractNumId w:val="5"/>
  </w:num>
  <w:num w:numId="8" w16cid:durableId="1322999577">
    <w:abstractNumId w:val="1"/>
  </w:num>
  <w:num w:numId="9" w16cid:durableId="113599470">
    <w:abstractNumId w:val="18"/>
  </w:num>
  <w:num w:numId="10" w16cid:durableId="1912811216">
    <w:abstractNumId w:val="2"/>
  </w:num>
  <w:num w:numId="11" w16cid:durableId="455569556">
    <w:abstractNumId w:val="15"/>
  </w:num>
  <w:num w:numId="12" w16cid:durableId="648942033">
    <w:abstractNumId w:val="3"/>
  </w:num>
  <w:num w:numId="13" w16cid:durableId="1067991826">
    <w:abstractNumId w:val="20"/>
  </w:num>
  <w:num w:numId="14" w16cid:durableId="1230191430">
    <w:abstractNumId w:val="9"/>
  </w:num>
  <w:num w:numId="15" w16cid:durableId="473067431">
    <w:abstractNumId w:val="11"/>
  </w:num>
  <w:num w:numId="16" w16cid:durableId="856694446">
    <w:abstractNumId w:val="23"/>
  </w:num>
  <w:num w:numId="17" w16cid:durableId="550119218">
    <w:abstractNumId w:val="17"/>
  </w:num>
  <w:num w:numId="18" w16cid:durableId="1612205949">
    <w:abstractNumId w:val="4"/>
  </w:num>
  <w:num w:numId="19" w16cid:durableId="1041905050">
    <w:abstractNumId w:val="14"/>
  </w:num>
  <w:num w:numId="20" w16cid:durableId="121269206">
    <w:abstractNumId w:val="26"/>
  </w:num>
  <w:num w:numId="21" w16cid:durableId="1202791561">
    <w:abstractNumId w:val="6"/>
  </w:num>
  <w:num w:numId="22" w16cid:durableId="1433551153">
    <w:abstractNumId w:val="22"/>
  </w:num>
  <w:num w:numId="23" w16cid:durableId="1094323409">
    <w:abstractNumId w:val="10"/>
  </w:num>
  <w:num w:numId="24" w16cid:durableId="1739789795">
    <w:abstractNumId w:val="13"/>
  </w:num>
  <w:num w:numId="25" w16cid:durableId="1757287678">
    <w:abstractNumId w:val="7"/>
  </w:num>
  <w:num w:numId="26" w16cid:durableId="123895303">
    <w:abstractNumId w:val="12"/>
  </w:num>
  <w:num w:numId="27" w16cid:durableId="34513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A4"/>
    <w:rsid w:val="00002921"/>
    <w:rsid w:val="00003A0E"/>
    <w:rsid w:val="00007C28"/>
    <w:rsid w:val="0001463E"/>
    <w:rsid w:val="00014AF7"/>
    <w:rsid w:val="00022725"/>
    <w:rsid w:val="00023584"/>
    <w:rsid w:val="00034366"/>
    <w:rsid w:val="000412B7"/>
    <w:rsid w:val="00041476"/>
    <w:rsid w:val="00041964"/>
    <w:rsid w:val="00042A5B"/>
    <w:rsid w:val="000472BF"/>
    <w:rsid w:val="000529BF"/>
    <w:rsid w:val="0005527E"/>
    <w:rsid w:val="00055FC3"/>
    <w:rsid w:val="00060E56"/>
    <w:rsid w:val="00081B74"/>
    <w:rsid w:val="00082F39"/>
    <w:rsid w:val="00086A83"/>
    <w:rsid w:val="000907E4"/>
    <w:rsid w:val="00092FA9"/>
    <w:rsid w:val="00095191"/>
    <w:rsid w:val="000C1ADE"/>
    <w:rsid w:val="000D3125"/>
    <w:rsid w:val="000E047D"/>
    <w:rsid w:val="000E2470"/>
    <w:rsid w:val="000E6CF7"/>
    <w:rsid w:val="000F0CB5"/>
    <w:rsid w:val="000F746A"/>
    <w:rsid w:val="00105E61"/>
    <w:rsid w:val="00111FDF"/>
    <w:rsid w:val="00114132"/>
    <w:rsid w:val="00117CBD"/>
    <w:rsid w:val="00117FD4"/>
    <w:rsid w:val="0013467F"/>
    <w:rsid w:val="00142AAE"/>
    <w:rsid w:val="00146E91"/>
    <w:rsid w:val="001504CE"/>
    <w:rsid w:val="00151592"/>
    <w:rsid w:val="00151C69"/>
    <w:rsid w:val="00155711"/>
    <w:rsid w:val="0016266D"/>
    <w:rsid w:val="00166682"/>
    <w:rsid w:val="00196FFA"/>
    <w:rsid w:val="001A3814"/>
    <w:rsid w:val="001B4575"/>
    <w:rsid w:val="001B7BB4"/>
    <w:rsid w:val="001C2B53"/>
    <w:rsid w:val="001C2CC6"/>
    <w:rsid w:val="001C7C02"/>
    <w:rsid w:val="001D390C"/>
    <w:rsid w:val="001D413A"/>
    <w:rsid w:val="001D756B"/>
    <w:rsid w:val="001E1E4B"/>
    <w:rsid w:val="001E30B3"/>
    <w:rsid w:val="001F1141"/>
    <w:rsid w:val="001F3C3F"/>
    <w:rsid w:val="00220D3D"/>
    <w:rsid w:val="00225B1E"/>
    <w:rsid w:val="00232451"/>
    <w:rsid w:val="0023311B"/>
    <w:rsid w:val="00234F4D"/>
    <w:rsid w:val="00251612"/>
    <w:rsid w:val="00252BD2"/>
    <w:rsid w:val="00252C6A"/>
    <w:rsid w:val="0025691A"/>
    <w:rsid w:val="002650CB"/>
    <w:rsid w:val="00290DA7"/>
    <w:rsid w:val="002923D7"/>
    <w:rsid w:val="00295D66"/>
    <w:rsid w:val="00296837"/>
    <w:rsid w:val="00296C02"/>
    <w:rsid w:val="00297FFA"/>
    <w:rsid w:val="002A0DFB"/>
    <w:rsid w:val="002A6109"/>
    <w:rsid w:val="002B72E8"/>
    <w:rsid w:val="002D3319"/>
    <w:rsid w:val="002E534F"/>
    <w:rsid w:val="002E5874"/>
    <w:rsid w:val="0030539A"/>
    <w:rsid w:val="003140F9"/>
    <w:rsid w:val="00315757"/>
    <w:rsid w:val="00315C02"/>
    <w:rsid w:val="003258DF"/>
    <w:rsid w:val="00326A95"/>
    <w:rsid w:val="0033058E"/>
    <w:rsid w:val="003311D2"/>
    <w:rsid w:val="003318AB"/>
    <w:rsid w:val="00361C60"/>
    <w:rsid w:val="00364375"/>
    <w:rsid w:val="003664A9"/>
    <w:rsid w:val="0036710F"/>
    <w:rsid w:val="00373297"/>
    <w:rsid w:val="003776EE"/>
    <w:rsid w:val="003827E2"/>
    <w:rsid w:val="00384CE6"/>
    <w:rsid w:val="00390438"/>
    <w:rsid w:val="003944D2"/>
    <w:rsid w:val="003975E2"/>
    <w:rsid w:val="003A2184"/>
    <w:rsid w:val="003A7319"/>
    <w:rsid w:val="003B3C76"/>
    <w:rsid w:val="003B6AB2"/>
    <w:rsid w:val="003C0523"/>
    <w:rsid w:val="003C237A"/>
    <w:rsid w:val="003D061B"/>
    <w:rsid w:val="003D1E08"/>
    <w:rsid w:val="003F2196"/>
    <w:rsid w:val="003F37E7"/>
    <w:rsid w:val="003F6EA5"/>
    <w:rsid w:val="0040163E"/>
    <w:rsid w:val="00403685"/>
    <w:rsid w:val="00405DC4"/>
    <w:rsid w:val="00424656"/>
    <w:rsid w:val="00426CC6"/>
    <w:rsid w:val="0043040C"/>
    <w:rsid w:val="004356D6"/>
    <w:rsid w:val="00437519"/>
    <w:rsid w:val="00447BF2"/>
    <w:rsid w:val="00456D21"/>
    <w:rsid w:val="004600A4"/>
    <w:rsid w:val="00463EC5"/>
    <w:rsid w:val="00464496"/>
    <w:rsid w:val="00472C62"/>
    <w:rsid w:val="00474A2B"/>
    <w:rsid w:val="00483199"/>
    <w:rsid w:val="00483541"/>
    <w:rsid w:val="004902B6"/>
    <w:rsid w:val="00493497"/>
    <w:rsid w:val="0049450B"/>
    <w:rsid w:val="004A4809"/>
    <w:rsid w:val="004B2684"/>
    <w:rsid w:val="004C273F"/>
    <w:rsid w:val="004D3949"/>
    <w:rsid w:val="004E0A8C"/>
    <w:rsid w:val="0050096B"/>
    <w:rsid w:val="00501323"/>
    <w:rsid w:val="005113FC"/>
    <w:rsid w:val="00513CDA"/>
    <w:rsid w:val="005158F8"/>
    <w:rsid w:val="00524089"/>
    <w:rsid w:val="0053216A"/>
    <w:rsid w:val="00534225"/>
    <w:rsid w:val="00547C0F"/>
    <w:rsid w:val="00551D2D"/>
    <w:rsid w:val="00572481"/>
    <w:rsid w:val="005826D8"/>
    <w:rsid w:val="00584748"/>
    <w:rsid w:val="00584E2A"/>
    <w:rsid w:val="00590EC0"/>
    <w:rsid w:val="005910A1"/>
    <w:rsid w:val="00596165"/>
    <w:rsid w:val="005961A7"/>
    <w:rsid w:val="005A147A"/>
    <w:rsid w:val="005C115D"/>
    <w:rsid w:val="005D06F5"/>
    <w:rsid w:val="005D19BB"/>
    <w:rsid w:val="005D2117"/>
    <w:rsid w:val="005D3B37"/>
    <w:rsid w:val="005D6430"/>
    <w:rsid w:val="005D688D"/>
    <w:rsid w:val="005D7438"/>
    <w:rsid w:val="005E3493"/>
    <w:rsid w:val="005E73F4"/>
    <w:rsid w:val="006053D3"/>
    <w:rsid w:val="00610402"/>
    <w:rsid w:val="006109C7"/>
    <w:rsid w:val="00613937"/>
    <w:rsid w:val="006160D7"/>
    <w:rsid w:val="00621446"/>
    <w:rsid w:val="00622EAA"/>
    <w:rsid w:val="0062446A"/>
    <w:rsid w:val="00625557"/>
    <w:rsid w:val="00630466"/>
    <w:rsid w:val="006352FB"/>
    <w:rsid w:val="00640C65"/>
    <w:rsid w:val="006411EC"/>
    <w:rsid w:val="006622C4"/>
    <w:rsid w:val="0066275D"/>
    <w:rsid w:val="0067785A"/>
    <w:rsid w:val="006A082E"/>
    <w:rsid w:val="006A2183"/>
    <w:rsid w:val="006A40ED"/>
    <w:rsid w:val="006B1F18"/>
    <w:rsid w:val="006B4E12"/>
    <w:rsid w:val="006B5B41"/>
    <w:rsid w:val="006D2BEA"/>
    <w:rsid w:val="006D2C39"/>
    <w:rsid w:val="006D2C50"/>
    <w:rsid w:val="006D500D"/>
    <w:rsid w:val="006E63F2"/>
    <w:rsid w:val="006F5A7B"/>
    <w:rsid w:val="006F6347"/>
    <w:rsid w:val="00701114"/>
    <w:rsid w:val="007045B9"/>
    <w:rsid w:val="007104EE"/>
    <w:rsid w:val="00716DF7"/>
    <w:rsid w:val="00717FB2"/>
    <w:rsid w:val="00731514"/>
    <w:rsid w:val="00756358"/>
    <w:rsid w:val="00760DF8"/>
    <w:rsid w:val="00771568"/>
    <w:rsid w:val="007845D6"/>
    <w:rsid w:val="0079194E"/>
    <w:rsid w:val="007955EB"/>
    <w:rsid w:val="007A26A7"/>
    <w:rsid w:val="007A7727"/>
    <w:rsid w:val="007B5FB7"/>
    <w:rsid w:val="007D0B0F"/>
    <w:rsid w:val="007D1972"/>
    <w:rsid w:val="007D77A0"/>
    <w:rsid w:val="007F000D"/>
    <w:rsid w:val="007F2A6B"/>
    <w:rsid w:val="007F4785"/>
    <w:rsid w:val="007F6360"/>
    <w:rsid w:val="007F6600"/>
    <w:rsid w:val="008048A4"/>
    <w:rsid w:val="0080616D"/>
    <w:rsid w:val="008168BF"/>
    <w:rsid w:val="0082127D"/>
    <w:rsid w:val="008278BE"/>
    <w:rsid w:val="00827ADD"/>
    <w:rsid w:val="008362C3"/>
    <w:rsid w:val="00855954"/>
    <w:rsid w:val="00856F57"/>
    <w:rsid w:val="00860ADE"/>
    <w:rsid w:val="00863BBC"/>
    <w:rsid w:val="00864E3E"/>
    <w:rsid w:val="00880E5E"/>
    <w:rsid w:val="0088376C"/>
    <w:rsid w:val="00884EBC"/>
    <w:rsid w:val="00891763"/>
    <w:rsid w:val="00891766"/>
    <w:rsid w:val="00891DB1"/>
    <w:rsid w:val="00894175"/>
    <w:rsid w:val="008A3EDA"/>
    <w:rsid w:val="008A4426"/>
    <w:rsid w:val="008A5498"/>
    <w:rsid w:val="008B526A"/>
    <w:rsid w:val="008C10E2"/>
    <w:rsid w:val="008C3439"/>
    <w:rsid w:val="008C3F94"/>
    <w:rsid w:val="008D15CF"/>
    <w:rsid w:val="008D4D8F"/>
    <w:rsid w:val="008D53E3"/>
    <w:rsid w:val="008E6F65"/>
    <w:rsid w:val="009070BC"/>
    <w:rsid w:val="009156DB"/>
    <w:rsid w:val="009225D8"/>
    <w:rsid w:val="009235E7"/>
    <w:rsid w:val="0093524F"/>
    <w:rsid w:val="009409F4"/>
    <w:rsid w:val="00945493"/>
    <w:rsid w:val="00951DF1"/>
    <w:rsid w:val="00954FC6"/>
    <w:rsid w:val="009560D9"/>
    <w:rsid w:val="00966095"/>
    <w:rsid w:val="00981FE9"/>
    <w:rsid w:val="00997C77"/>
    <w:rsid w:val="009B60E4"/>
    <w:rsid w:val="009C412E"/>
    <w:rsid w:val="009D39AF"/>
    <w:rsid w:val="00A06AD7"/>
    <w:rsid w:val="00A0797F"/>
    <w:rsid w:val="00A1311B"/>
    <w:rsid w:val="00A218A6"/>
    <w:rsid w:val="00A22D18"/>
    <w:rsid w:val="00A2603C"/>
    <w:rsid w:val="00A34BBA"/>
    <w:rsid w:val="00A5110E"/>
    <w:rsid w:val="00A545A4"/>
    <w:rsid w:val="00A61761"/>
    <w:rsid w:val="00A621FB"/>
    <w:rsid w:val="00A662C7"/>
    <w:rsid w:val="00A71211"/>
    <w:rsid w:val="00A72CC6"/>
    <w:rsid w:val="00A7526E"/>
    <w:rsid w:val="00A814A6"/>
    <w:rsid w:val="00A860D3"/>
    <w:rsid w:val="00A96B9A"/>
    <w:rsid w:val="00AA13B2"/>
    <w:rsid w:val="00AA2DB2"/>
    <w:rsid w:val="00AA3C6E"/>
    <w:rsid w:val="00AB06BE"/>
    <w:rsid w:val="00AB10E1"/>
    <w:rsid w:val="00AB2315"/>
    <w:rsid w:val="00AD2108"/>
    <w:rsid w:val="00AD40C6"/>
    <w:rsid w:val="00AD4142"/>
    <w:rsid w:val="00AE329B"/>
    <w:rsid w:val="00AE481A"/>
    <w:rsid w:val="00AE597B"/>
    <w:rsid w:val="00AF0601"/>
    <w:rsid w:val="00AF28CC"/>
    <w:rsid w:val="00AF5F03"/>
    <w:rsid w:val="00B0092E"/>
    <w:rsid w:val="00B10E8C"/>
    <w:rsid w:val="00B13273"/>
    <w:rsid w:val="00B23D42"/>
    <w:rsid w:val="00B333B6"/>
    <w:rsid w:val="00B3509A"/>
    <w:rsid w:val="00B41CB3"/>
    <w:rsid w:val="00B50125"/>
    <w:rsid w:val="00B63360"/>
    <w:rsid w:val="00B67EA3"/>
    <w:rsid w:val="00B75B27"/>
    <w:rsid w:val="00B92DD5"/>
    <w:rsid w:val="00B94A83"/>
    <w:rsid w:val="00BA2CB3"/>
    <w:rsid w:val="00BA6F0E"/>
    <w:rsid w:val="00BB5EA9"/>
    <w:rsid w:val="00BD10F8"/>
    <w:rsid w:val="00BD4A57"/>
    <w:rsid w:val="00BD784A"/>
    <w:rsid w:val="00BD7C10"/>
    <w:rsid w:val="00BF14FE"/>
    <w:rsid w:val="00BF643C"/>
    <w:rsid w:val="00C11E5E"/>
    <w:rsid w:val="00C408FD"/>
    <w:rsid w:val="00C41C47"/>
    <w:rsid w:val="00C41F96"/>
    <w:rsid w:val="00C46825"/>
    <w:rsid w:val="00C472E6"/>
    <w:rsid w:val="00C515AE"/>
    <w:rsid w:val="00C57164"/>
    <w:rsid w:val="00C764AA"/>
    <w:rsid w:val="00C76809"/>
    <w:rsid w:val="00C803B6"/>
    <w:rsid w:val="00C80F42"/>
    <w:rsid w:val="00C85720"/>
    <w:rsid w:val="00C90E9D"/>
    <w:rsid w:val="00C91600"/>
    <w:rsid w:val="00C95B6B"/>
    <w:rsid w:val="00CA02D6"/>
    <w:rsid w:val="00CA142A"/>
    <w:rsid w:val="00CA60AE"/>
    <w:rsid w:val="00CD2215"/>
    <w:rsid w:val="00CD2617"/>
    <w:rsid w:val="00CD7DEC"/>
    <w:rsid w:val="00CE0A29"/>
    <w:rsid w:val="00CE24DE"/>
    <w:rsid w:val="00CE3F7C"/>
    <w:rsid w:val="00CF2094"/>
    <w:rsid w:val="00D0182E"/>
    <w:rsid w:val="00D0441E"/>
    <w:rsid w:val="00D062FF"/>
    <w:rsid w:val="00D06D35"/>
    <w:rsid w:val="00D155DB"/>
    <w:rsid w:val="00D17B7B"/>
    <w:rsid w:val="00D20B74"/>
    <w:rsid w:val="00D408CA"/>
    <w:rsid w:val="00D42C31"/>
    <w:rsid w:val="00D47E43"/>
    <w:rsid w:val="00D52BE1"/>
    <w:rsid w:val="00D53050"/>
    <w:rsid w:val="00D60454"/>
    <w:rsid w:val="00D62CE0"/>
    <w:rsid w:val="00D6440C"/>
    <w:rsid w:val="00D647B1"/>
    <w:rsid w:val="00D75967"/>
    <w:rsid w:val="00D76838"/>
    <w:rsid w:val="00DA2ECF"/>
    <w:rsid w:val="00DA52C5"/>
    <w:rsid w:val="00DC4CEF"/>
    <w:rsid w:val="00DE4682"/>
    <w:rsid w:val="00DE5AD9"/>
    <w:rsid w:val="00E04978"/>
    <w:rsid w:val="00E1139F"/>
    <w:rsid w:val="00E20B08"/>
    <w:rsid w:val="00E23826"/>
    <w:rsid w:val="00E3740F"/>
    <w:rsid w:val="00E374F5"/>
    <w:rsid w:val="00E45CE8"/>
    <w:rsid w:val="00E5301F"/>
    <w:rsid w:val="00E6177D"/>
    <w:rsid w:val="00E6666C"/>
    <w:rsid w:val="00E76708"/>
    <w:rsid w:val="00EA19E0"/>
    <w:rsid w:val="00EA3754"/>
    <w:rsid w:val="00EB527B"/>
    <w:rsid w:val="00EC3C26"/>
    <w:rsid w:val="00EC73E5"/>
    <w:rsid w:val="00EC74A0"/>
    <w:rsid w:val="00EE29ED"/>
    <w:rsid w:val="00EE30EA"/>
    <w:rsid w:val="00EF03F7"/>
    <w:rsid w:val="00EF667D"/>
    <w:rsid w:val="00F031EF"/>
    <w:rsid w:val="00F04473"/>
    <w:rsid w:val="00F200CA"/>
    <w:rsid w:val="00F33156"/>
    <w:rsid w:val="00F43BC6"/>
    <w:rsid w:val="00F80CB9"/>
    <w:rsid w:val="00F8262C"/>
    <w:rsid w:val="00F84614"/>
    <w:rsid w:val="00F84B1F"/>
    <w:rsid w:val="00F9212F"/>
    <w:rsid w:val="00F9360A"/>
    <w:rsid w:val="00FA0743"/>
    <w:rsid w:val="00FA4F2E"/>
    <w:rsid w:val="00FA5058"/>
    <w:rsid w:val="00FB1B90"/>
    <w:rsid w:val="00FB72F0"/>
    <w:rsid w:val="00FC3579"/>
    <w:rsid w:val="00FD0A20"/>
    <w:rsid w:val="00FD7165"/>
    <w:rsid w:val="00FE2DC2"/>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17D8"/>
  <w15:chartTrackingRefBased/>
  <w15:docId w15:val="{1180286E-847E-4DCC-888A-AD90BAC5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A4"/>
    <w:rPr>
      <w:rFonts w:eastAsia="Times New Roman"/>
      <w:sz w:val="24"/>
      <w:szCs w:val="24"/>
    </w:rPr>
  </w:style>
  <w:style w:type="paragraph" w:styleId="Heading1">
    <w:name w:val="heading 1"/>
    <w:basedOn w:val="Normal"/>
    <w:next w:val="Normal"/>
    <w:link w:val="Heading1Char"/>
    <w:qFormat/>
    <w:rsid w:val="004600A4"/>
    <w:pPr>
      <w:keepNext/>
      <w:outlineLvl w:val="0"/>
    </w:pPr>
    <w:rPr>
      <w:sz w:val="20"/>
      <w:szCs w:val="20"/>
      <w:lang w:eastAsia="x-none"/>
    </w:rPr>
  </w:style>
  <w:style w:type="paragraph" w:styleId="Heading2">
    <w:name w:val="heading 2"/>
    <w:basedOn w:val="Normal"/>
    <w:next w:val="Normal"/>
    <w:link w:val="Heading2Char"/>
    <w:uiPriority w:val="9"/>
    <w:semiHidden/>
    <w:unhideWhenUsed/>
    <w:qFormat/>
    <w:rsid w:val="00B132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FE2D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00A4"/>
    <w:rPr>
      <w:rFonts w:eastAsia="Times New Roman" w:cs="Times New Roman"/>
      <w:szCs w:val="20"/>
      <w:lang w:val="en-US"/>
    </w:rPr>
  </w:style>
  <w:style w:type="character" w:styleId="Hyperlink">
    <w:name w:val="Hyperlink"/>
    <w:uiPriority w:val="99"/>
    <w:unhideWhenUsed/>
    <w:rsid w:val="00D647B1"/>
    <w:rPr>
      <w:color w:val="0000FF"/>
      <w:u w:val="single"/>
    </w:rPr>
  </w:style>
  <w:style w:type="paragraph" w:styleId="Header">
    <w:name w:val="header"/>
    <w:basedOn w:val="Normal"/>
    <w:link w:val="HeaderChar"/>
    <w:uiPriority w:val="99"/>
    <w:unhideWhenUsed/>
    <w:rsid w:val="00EE30EA"/>
    <w:pPr>
      <w:tabs>
        <w:tab w:val="center" w:pos="4680"/>
        <w:tab w:val="right" w:pos="9360"/>
      </w:tabs>
    </w:pPr>
    <w:rPr>
      <w:lang w:val="x-none" w:eastAsia="x-none"/>
    </w:rPr>
  </w:style>
  <w:style w:type="character" w:customStyle="1" w:styleId="HeaderChar">
    <w:name w:val="Header Char"/>
    <w:link w:val="Header"/>
    <w:uiPriority w:val="99"/>
    <w:rsid w:val="00EE30EA"/>
    <w:rPr>
      <w:rFonts w:eastAsia="Times New Roman"/>
      <w:sz w:val="24"/>
      <w:szCs w:val="24"/>
    </w:rPr>
  </w:style>
  <w:style w:type="paragraph" w:styleId="Footer">
    <w:name w:val="footer"/>
    <w:basedOn w:val="Normal"/>
    <w:link w:val="FooterChar"/>
    <w:uiPriority w:val="99"/>
    <w:unhideWhenUsed/>
    <w:rsid w:val="00EE30EA"/>
    <w:pPr>
      <w:tabs>
        <w:tab w:val="center" w:pos="4680"/>
        <w:tab w:val="right" w:pos="9360"/>
      </w:tabs>
    </w:pPr>
    <w:rPr>
      <w:lang w:val="x-none" w:eastAsia="x-none"/>
    </w:rPr>
  </w:style>
  <w:style w:type="character" w:customStyle="1" w:styleId="FooterChar">
    <w:name w:val="Footer Char"/>
    <w:link w:val="Footer"/>
    <w:uiPriority w:val="99"/>
    <w:rsid w:val="00EE30EA"/>
    <w:rPr>
      <w:rFonts w:eastAsia="Times New Roman"/>
      <w:sz w:val="24"/>
      <w:szCs w:val="24"/>
    </w:rPr>
  </w:style>
  <w:style w:type="paragraph" w:styleId="BalloonText">
    <w:name w:val="Balloon Text"/>
    <w:basedOn w:val="Normal"/>
    <w:link w:val="BalloonTextChar"/>
    <w:uiPriority w:val="99"/>
    <w:semiHidden/>
    <w:unhideWhenUsed/>
    <w:rsid w:val="0080616D"/>
    <w:rPr>
      <w:rFonts w:ascii="Segoe UI" w:hAnsi="Segoe UI"/>
      <w:sz w:val="18"/>
      <w:szCs w:val="18"/>
      <w:lang w:val="x-none" w:eastAsia="x-none"/>
    </w:rPr>
  </w:style>
  <w:style w:type="character" w:customStyle="1" w:styleId="BalloonTextChar">
    <w:name w:val="Balloon Text Char"/>
    <w:link w:val="BalloonText"/>
    <w:uiPriority w:val="99"/>
    <w:semiHidden/>
    <w:rsid w:val="0080616D"/>
    <w:rPr>
      <w:rFonts w:ascii="Segoe UI" w:eastAsia="Times New Roman" w:hAnsi="Segoe UI" w:cs="Segoe UI"/>
      <w:sz w:val="18"/>
      <w:szCs w:val="18"/>
    </w:rPr>
  </w:style>
  <w:style w:type="character" w:customStyle="1" w:styleId="font-13">
    <w:name w:val="font-13"/>
    <w:rsid w:val="00296C02"/>
  </w:style>
  <w:style w:type="paragraph" w:styleId="ListParagraph">
    <w:name w:val="List Paragraph"/>
    <w:aliases w:val="bullet"/>
    <w:basedOn w:val="Normal"/>
    <w:link w:val="ListParagraphChar"/>
    <w:uiPriority w:val="34"/>
    <w:qFormat/>
    <w:rsid w:val="00AE481A"/>
    <w:pPr>
      <w:spacing w:after="200" w:line="276" w:lineRule="auto"/>
      <w:ind w:left="720"/>
      <w:contextualSpacing/>
    </w:pPr>
    <w:rPr>
      <w:rFonts w:eastAsia="Calibri"/>
      <w:szCs w:val="22"/>
    </w:rPr>
  </w:style>
  <w:style w:type="table" w:styleId="TableGrid">
    <w:name w:val="Table Grid"/>
    <w:basedOn w:val="TableNormal"/>
    <w:uiPriority w:val="59"/>
    <w:rsid w:val="000C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90438"/>
    <w:rPr>
      <w:rFonts w:ascii="Times New Roman" w:hAnsi="Times New Roman" w:cs="Times New Roman" w:hint="default"/>
      <w:b w:val="0"/>
      <w:bCs w:val="0"/>
      <w:i/>
      <w:iCs/>
      <w:color w:val="000000"/>
      <w:sz w:val="28"/>
      <w:szCs w:val="28"/>
    </w:rPr>
  </w:style>
  <w:style w:type="character" w:customStyle="1" w:styleId="fontstyle21">
    <w:name w:val="fontstyle21"/>
    <w:rsid w:val="00390438"/>
    <w:rPr>
      <w:rFonts w:ascii="Times New Roman" w:hAnsi="Times New Roman" w:cs="Times New Roman" w:hint="default"/>
      <w:b w:val="0"/>
      <w:bCs w:val="0"/>
      <w:i w:val="0"/>
      <w:iCs w:val="0"/>
      <w:color w:val="000000"/>
      <w:sz w:val="28"/>
      <w:szCs w:val="28"/>
    </w:rPr>
  </w:style>
  <w:style w:type="paragraph" w:customStyle="1" w:styleId="normal-p">
    <w:name w:val="normal-p"/>
    <w:basedOn w:val="Normal"/>
    <w:rsid w:val="00155711"/>
    <w:pPr>
      <w:overflowPunct w:val="0"/>
      <w:jc w:val="both"/>
    </w:pPr>
    <w:rPr>
      <w:rFonts w:eastAsia="Calibri"/>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E6CF7"/>
    <w:pPr>
      <w:spacing w:after="200" w:line="276" w:lineRule="auto"/>
    </w:pPr>
    <w:rPr>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0E6CF7"/>
    <w:rPr>
      <w:rFonts w:eastAsia="Times New Roman"/>
      <w:sz w:val="24"/>
      <w:szCs w:val="24"/>
      <w:lang w:val="vi-VN" w:eastAsia="en-US"/>
    </w:rPr>
  </w:style>
  <w:style w:type="paragraph" w:styleId="CommentText">
    <w:name w:val="annotation text"/>
    <w:basedOn w:val="Normal"/>
    <w:link w:val="CommentTextChar"/>
    <w:rsid w:val="00361C60"/>
    <w:pPr>
      <w:autoSpaceDE w:val="0"/>
      <w:autoSpaceDN w:val="0"/>
    </w:pPr>
    <w:rPr>
      <w:sz w:val="20"/>
      <w:szCs w:val="20"/>
      <w:lang w:val="x-none" w:eastAsia="x-none"/>
    </w:rPr>
  </w:style>
  <w:style w:type="character" w:customStyle="1" w:styleId="CommentTextChar">
    <w:name w:val="Comment Text Char"/>
    <w:link w:val="CommentText"/>
    <w:rsid w:val="00361C60"/>
    <w:rPr>
      <w:rFonts w:eastAsia="Times New Roman"/>
      <w:lang w:val="x-none" w:eastAsia="x-none"/>
    </w:rPr>
  </w:style>
  <w:style w:type="character" w:styleId="CommentReference">
    <w:name w:val="annotation reference"/>
    <w:rsid w:val="00361C60"/>
    <w:rPr>
      <w:sz w:val="16"/>
      <w:szCs w:val="16"/>
    </w:rPr>
  </w:style>
  <w:style w:type="paragraph" w:styleId="Revision">
    <w:name w:val="Revision"/>
    <w:hidden/>
    <w:uiPriority w:val="99"/>
    <w:semiHidden/>
    <w:rsid w:val="005961A7"/>
    <w:rPr>
      <w:rFonts w:eastAsia="Times New Roman"/>
      <w:sz w:val="24"/>
      <w:szCs w:val="24"/>
    </w:rPr>
  </w:style>
  <w:style w:type="character" w:customStyle="1" w:styleId="Heading3Char">
    <w:name w:val="Heading 3 Char"/>
    <w:link w:val="Heading3"/>
    <w:uiPriority w:val="9"/>
    <w:rsid w:val="00FE2DC2"/>
    <w:rPr>
      <w:rFonts w:ascii="Aptos Display" w:eastAsia="Times New Roman" w:hAnsi="Aptos Display" w:cs="Times New Roman"/>
      <w:b/>
      <w:bCs/>
      <w:sz w:val="26"/>
      <w:szCs w:val="26"/>
    </w:rPr>
  </w:style>
  <w:style w:type="paragraph" w:styleId="CommentSubject">
    <w:name w:val="annotation subject"/>
    <w:basedOn w:val="CommentText"/>
    <w:next w:val="CommentText"/>
    <w:link w:val="CommentSubjectChar"/>
    <w:uiPriority w:val="99"/>
    <w:semiHidden/>
    <w:unhideWhenUsed/>
    <w:rsid w:val="00771568"/>
    <w:pPr>
      <w:autoSpaceDE/>
      <w:autoSpaceDN/>
    </w:pPr>
    <w:rPr>
      <w:b/>
      <w:bCs/>
      <w:lang w:val="en-US" w:eastAsia="en-US"/>
    </w:rPr>
  </w:style>
  <w:style w:type="character" w:customStyle="1" w:styleId="CommentSubjectChar">
    <w:name w:val="Comment Subject Char"/>
    <w:link w:val="CommentSubject"/>
    <w:uiPriority w:val="99"/>
    <w:semiHidden/>
    <w:rsid w:val="00771568"/>
    <w:rPr>
      <w:rFonts w:eastAsia="Times New Roman"/>
      <w:b/>
      <w:bCs/>
      <w:lang w:val="x-none" w:eastAsia="x-none"/>
    </w:rPr>
  </w:style>
  <w:style w:type="character" w:customStyle="1" w:styleId="font12boldblack">
    <w:name w:val="font12boldblack"/>
    <w:basedOn w:val="DefaultParagraphFont"/>
    <w:rsid w:val="00E76708"/>
  </w:style>
  <w:style w:type="character" w:customStyle="1" w:styleId="Heading2Char">
    <w:name w:val="Heading 2 Char"/>
    <w:link w:val="Heading2"/>
    <w:uiPriority w:val="9"/>
    <w:semiHidden/>
    <w:rsid w:val="00B13273"/>
    <w:rPr>
      <w:rFonts w:ascii="Calibri Light" w:eastAsia="Times New Roman" w:hAnsi="Calibri Light" w:cs="Times New Roman"/>
      <w:b/>
      <w:bCs/>
      <w:i/>
      <w:iCs/>
      <w:sz w:val="28"/>
      <w:szCs w:val="28"/>
    </w:rPr>
  </w:style>
  <w:style w:type="character" w:customStyle="1" w:styleId="ListParagraphChar">
    <w:name w:val="List Paragraph Char"/>
    <w:aliases w:val="bullet Char"/>
    <w:link w:val="ListParagraph"/>
    <w:uiPriority w:val="34"/>
    <w:locked/>
    <w:rsid w:val="003318A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732">
      <w:bodyDiv w:val="1"/>
      <w:marLeft w:val="0"/>
      <w:marRight w:val="0"/>
      <w:marTop w:val="0"/>
      <w:marBottom w:val="0"/>
      <w:divBdr>
        <w:top w:val="none" w:sz="0" w:space="0" w:color="auto"/>
        <w:left w:val="none" w:sz="0" w:space="0" w:color="auto"/>
        <w:bottom w:val="none" w:sz="0" w:space="0" w:color="auto"/>
        <w:right w:val="none" w:sz="0" w:space="0" w:color="auto"/>
      </w:divBdr>
    </w:div>
    <w:div w:id="824081314">
      <w:bodyDiv w:val="1"/>
      <w:marLeft w:val="0"/>
      <w:marRight w:val="0"/>
      <w:marTop w:val="0"/>
      <w:marBottom w:val="0"/>
      <w:divBdr>
        <w:top w:val="none" w:sz="0" w:space="0" w:color="auto"/>
        <w:left w:val="none" w:sz="0" w:space="0" w:color="auto"/>
        <w:bottom w:val="none" w:sz="0" w:space="0" w:color="auto"/>
        <w:right w:val="none" w:sz="0" w:space="0" w:color="auto"/>
      </w:divBdr>
    </w:div>
    <w:div w:id="883172301">
      <w:bodyDiv w:val="1"/>
      <w:marLeft w:val="0"/>
      <w:marRight w:val="0"/>
      <w:marTop w:val="0"/>
      <w:marBottom w:val="0"/>
      <w:divBdr>
        <w:top w:val="none" w:sz="0" w:space="0" w:color="auto"/>
        <w:left w:val="none" w:sz="0" w:space="0" w:color="auto"/>
        <w:bottom w:val="none" w:sz="0" w:space="0" w:color="auto"/>
        <w:right w:val="none" w:sz="0" w:space="0" w:color="auto"/>
      </w:divBdr>
    </w:div>
    <w:div w:id="1169634715">
      <w:bodyDiv w:val="1"/>
      <w:marLeft w:val="0"/>
      <w:marRight w:val="0"/>
      <w:marTop w:val="0"/>
      <w:marBottom w:val="0"/>
      <w:divBdr>
        <w:top w:val="none" w:sz="0" w:space="0" w:color="auto"/>
        <w:left w:val="none" w:sz="0" w:space="0" w:color="auto"/>
        <w:bottom w:val="none" w:sz="0" w:space="0" w:color="auto"/>
        <w:right w:val="none" w:sz="0" w:space="0" w:color="auto"/>
      </w:divBdr>
    </w:div>
    <w:div w:id="1488982196">
      <w:bodyDiv w:val="1"/>
      <w:marLeft w:val="0"/>
      <w:marRight w:val="0"/>
      <w:marTop w:val="0"/>
      <w:marBottom w:val="0"/>
      <w:divBdr>
        <w:top w:val="none" w:sz="0" w:space="0" w:color="auto"/>
        <w:left w:val="none" w:sz="0" w:space="0" w:color="auto"/>
        <w:bottom w:val="none" w:sz="0" w:space="0" w:color="auto"/>
        <w:right w:val="none" w:sz="0" w:space="0" w:color="auto"/>
      </w:divBdr>
    </w:div>
    <w:div w:id="20948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F450A-067A-4A05-9277-73B63802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3898</Words>
  <Characters>22224</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cp:lastModifiedBy>Quyen, Nguyen Hoang (TCT)</cp:lastModifiedBy>
  <cp:revision>2</cp:revision>
  <cp:lastPrinted>2021-02-26T03:47:00Z</cp:lastPrinted>
  <dcterms:created xsi:type="dcterms:W3CDTF">2026-03-31T02:09:00Z</dcterms:created>
  <dcterms:modified xsi:type="dcterms:W3CDTF">2026-03-31T02:09:00Z</dcterms:modified>
</cp:coreProperties>
</file>