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70AE" w14:textId="77777777" w:rsidR="001F3C3F" w:rsidRPr="0097051E" w:rsidRDefault="001F3C3F" w:rsidP="0097051E"/>
    <w:p w14:paraId="27739EED" w14:textId="77777777" w:rsidR="000D102D" w:rsidRPr="0097051E" w:rsidRDefault="000C1ADE" w:rsidP="0097051E">
      <w:pPr>
        <w:jc w:val="center"/>
        <w:rPr>
          <w:b/>
        </w:rPr>
      </w:pPr>
      <w:r w:rsidRPr="0097051E">
        <w:rPr>
          <w:b/>
        </w:rPr>
        <w:t xml:space="preserve">BẢNG </w:t>
      </w:r>
      <w:r w:rsidR="00E76708" w:rsidRPr="0097051E">
        <w:rPr>
          <w:b/>
        </w:rPr>
        <w:t xml:space="preserve">TỔNG HỢP CÁC NỘI DUNG ĐỀ XUẤT SỬA ĐỔI, BỔ SUNG </w:t>
      </w:r>
      <w:r w:rsidR="00534225" w:rsidRPr="0097051E">
        <w:rPr>
          <w:b/>
        </w:rPr>
        <w:t xml:space="preserve">QUY CHẾ </w:t>
      </w:r>
      <w:r w:rsidR="000D102D" w:rsidRPr="0097051E">
        <w:rPr>
          <w:b/>
        </w:rPr>
        <w:t xml:space="preserve">HOẠT ĐỘNG </w:t>
      </w:r>
    </w:p>
    <w:p w14:paraId="19A4AA2A" w14:textId="77777777" w:rsidR="00E76708" w:rsidRPr="0097051E" w:rsidRDefault="000D102D" w:rsidP="0097051E">
      <w:pPr>
        <w:jc w:val="center"/>
        <w:rPr>
          <w:b/>
        </w:rPr>
      </w:pPr>
      <w:r w:rsidRPr="0097051E">
        <w:rPr>
          <w:b/>
        </w:rPr>
        <w:t>CỦA HỘI ĐỒNG QUẢN TRỊ PJICO</w:t>
      </w:r>
    </w:p>
    <w:p w14:paraId="5D20CC59" w14:textId="77777777" w:rsidR="00E76708" w:rsidRPr="0097051E" w:rsidRDefault="00E76708" w:rsidP="0097051E">
      <w:pPr>
        <w:jc w:val="center"/>
        <w:rPr>
          <w:b/>
        </w:rPr>
      </w:pPr>
    </w:p>
    <w:p w14:paraId="4E4C49EC" w14:textId="77777777" w:rsidR="00E76708" w:rsidRPr="0097051E" w:rsidRDefault="00E76708" w:rsidP="0097051E">
      <w:pPr>
        <w:numPr>
          <w:ilvl w:val="0"/>
          <w:numId w:val="22"/>
        </w:numPr>
        <w:rPr>
          <w:bCs/>
        </w:rPr>
      </w:pPr>
      <w:r w:rsidRPr="0097051E">
        <w:rPr>
          <w:b/>
          <w:u w:val="single"/>
        </w:rPr>
        <w:t>Mục đích:</w:t>
      </w:r>
      <w:r w:rsidRPr="0097051E">
        <w:rPr>
          <w:b/>
        </w:rPr>
        <w:t xml:space="preserve"> </w:t>
      </w:r>
      <w:r w:rsidRPr="0097051E">
        <w:rPr>
          <w:bCs/>
        </w:rPr>
        <w:t xml:space="preserve">Tổng hợp các nội dung đề xuất sửa đổi, bổ sung </w:t>
      </w:r>
      <w:r w:rsidR="00534225" w:rsidRPr="0097051E">
        <w:rPr>
          <w:bCs/>
        </w:rPr>
        <w:t xml:space="preserve">Quy chế </w:t>
      </w:r>
      <w:r w:rsidR="000D102D" w:rsidRPr="0097051E">
        <w:rPr>
          <w:bCs/>
        </w:rPr>
        <w:t>hoạt động của HĐQT</w:t>
      </w:r>
      <w:r w:rsidR="00534225" w:rsidRPr="0097051E">
        <w:rPr>
          <w:bCs/>
        </w:rPr>
        <w:t xml:space="preserve"> PJICO</w:t>
      </w:r>
    </w:p>
    <w:p w14:paraId="5FBCC989" w14:textId="77777777" w:rsidR="000C1ADE" w:rsidRPr="0097051E" w:rsidRDefault="00E76708" w:rsidP="0097051E">
      <w:pPr>
        <w:numPr>
          <w:ilvl w:val="0"/>
          <w:numId w:val="22"/>
        </w:numPr>
        <w:rPr>
          <w:b/>
          <w:u w:val="single"/>
        </w:rPr>
      </w:pPr>
      <w:r w:rsidRPr="0097051E">
        <w:rPr>
          <w:b/>
          <w:u w:val="single"/>
        </w:rPr>
        <w:t>Căn cứ:</w:t>
      </w:r>
      <w:r w:rsidR="00361C60" w:rsidRPr="0097051E">
        <w:rPr>
          <w:b/>
          <w:u w:val="single"/>
        </w:rPr>
        <w:t xml:space="preserve"> </w:t>
      </w:r>
    </w:p>
    <w:p w14:paraId="688C6EB3" w14:textId="77777777" w:rsidR="00E76708" w:rsidRPr="0097051E" w:rsidRDefault="00E76708" w:rsidP="0097051E">
      <w:pPr>
        <w:widowControl w:val="0"/>
        <w:numPr>
          <w:ilvl w:val="0"/>
          <w:numId w:val="23"/>
        </w:numPr>
        <w:jc w:val="both"/>
        <w:rPr>
          <w:lang w:val="nl-NL"/>
        </w:rPr>
      </w:pPr>
      <w:r w:rsidRPr="0097051E">
        <w:rPr>
          <w:lang w:val="nl-NL"/>
        </w:rPr>
        <w:t>Luật Doanh nghiệp số 59/2020/QH14 ngày 17 tháng 06 năm 2020 đã được sửa đổi, bổ sung một số điều theo Luật số 03/2022/QH15 và Luật số 76/2025/QH15;</w:t>
      </w:r>
    </w:p>
    <w:p w14:paraId="6E7FB260" w14:textId="77777777" w:rsidR="00E76708" w:rsidRPr="0097051E" w:rsidRDefault="00E76708" w:rsidP="0097051E">
      <w:pPr>
        <w:widowControl w:val="0"/>
        <w:numPr>
          <w:ilvl w:val="0"/>
          <w:numId w:val="23"/>
        </w:numPr>
        <w:jc w:val="both"/>
        <w:rPr>
          <w:lang w:val="nl-NL"/>
        </w:rPr>
      </w:pPr>
      <w:r w:rsidRPr="0097051E">
        <w:rPr>
          <w:lang w:val="nl-NL"/>
        </w:rPr>
        <w:t>Luật Chứng khoán số 54/2019/QH14 ngày 26/11/2019 đã được sửa đổi, bổ sung một số điều theo Luật số 56/2024/QH15;</w:t>
      </w:r>
    </w:p>
    <w:p w14:paraId="33EAF58D" w14:textId="77777777" w:rsidR="00E76708" w:rsidRPr="0097051E" w:rsidRDefault="00E76708" w:rsidP="0097051E">
      <w:pPr>
        <w:widowControl w:val="0"/>
        <w:numPr>
          <w:ilvl w:val="0"/>
          <w:numId w:val="23"/>
        </w:numPr>
        <w:jc w:val="both"/>
        <w:rPr>
          <w:rStyle w:val="font12boldblack"/>
          <w:lang w:val="nl-NL"/>
        </w:rPr>
      </w:pPr>
      <w:r w:rsidRPr="0097051E">
        <w:rPr>
          <w:lang w:val="nl-NL"/>
        </w:rPr>
        <w:t>Luật Kinh doanh Bảo hiểm số</w:t>
      </w:r>
      <w:r w:rsidRPr="0097051E">
        <w:rPr>
          <w:rStyle w:val="font12boldblack"/>
          <w:lang w:val="nl-NL"/>
        </w:rPr>
        <w:t xml:space="preserve"> 08/2022/QH15 ngày 16/06/2022 </w:t>
      </w:r>
      <w:r w:rsidRPr="0097051E">
        <w:rPr>
          <w:lang w:val="nl-NL"/>
        </w:rPr>
        <w:t>đã được sửa đổi, bổ sung một số điều theo</w:t>
      </w:r>
      <w:r w:rsidRPr="0097051E">
        <w:rPr>
          <w:rStyle w:val="font12boldblack"/>
          <w:lang w:val="nl-NL"/>
        </w:rPr>
        <w:t xml:space="preserve"> Luật số 139/2025/QH15;</w:t>
      </w:r>
    </w:p>
    <w:p w14:paraId="57DAF29F" w14:textId="77777777" w:rsidR="00E76708" w:rsidRPr="0097051E" w:rsidRDefault="00E76708" w:rsidP="0097051E">
      <w:pPr>
        <w:widowControl w:val="0"/>
        <w:numPr>
          <w:ilvl w:val="0"/>
          <w:numId w:val="23"/>
        </w:numPr>
        <w:jc w:val="both"/>
        <w:rPr>
          <w:lang w:val="nl-NL"/>
        </w:rPr>
      </w:pPr>
      <w:r w:rsidRPr="0097051E">
        <w:rPr>
          <w:lang w:val="nl-NL"/>
        </w:rPr>
        <w:t>Nghị định số 155/2020/NĐ-CP ngày 31/12/2020 của Chính Phủ đã được sửa đổi, bổ sung một số điều theo Nghị định số 245/2025/NĐ-CP.</w:t>
      </w:r>
    </w:p>
    <w:p w14:paraId="059A93C9" w14:textId="77777777" w:rsidR="00E76708" w:rsidRPr="0097051E" w:rsidRDefault="00E76708" w:rsidP="0097051E">
      <w:pPr>
        <w:widowControl w:val="0"/>
        <w:numPr>
          <w:ilvl w:val="0"/>
          <w:numId w:val="23"/>
        </w:numPr>
        <w:jc w:val="both"/>
        <w:rPr>
          <w:bCs/>
          <w:lang w:val="nl-NL"/>
        </w:rPr>
      </w:pPr>
      <w:r w:rsidRPr="0097051E">
        <w:rPr>
          <w:lang w:val="vi-VN"/>
        </w:rPr>
        <w:t xml:space="preserve">Thông tư số </w:t>
      </w:r>
      <w:r w:rsidRPr="005F27A5">
        <w:rPr>
          <w:lang w:val="nl-NL"/>
        </w:rPr>
        <w:t>116</w:t>
      </w:r>
      <w:r w:rsidRPr="0097051E">
        <w:rPr>
          <w:lang w:val="vi-VN"/>
        </w:rPr>
        <w:t>/20</w:t>
      </w:r>
      <w:r w:rsidRPr="005F27A5">
        <w:rPr>
          <w:lang w:val="nl-NL"/>
        </w:rPr>
        <w:t>20</w:t>
      </w:r>
      <w:r w:rsidRPr="0097051E">
        <w:rPr>
          <w:lang w:val="vi-VN"/>
        </w:rPr>
        <w:t xml:space="preserve">/TT-BTC ngày </w:t>
      </w:r>
      <w:r w:rsidRPr="005F27A5">
        <w:rPr>
          <w:lang w:val="nl-NL"/>
        </w:rPr>
        <w:t>31</w:t>
      </w:r>
      <w:r w:rsidRPr="0097051E">
        <w:rPr>
          <w:lang w:val="vi-VN"/>
        </w:rPr>
        <w:t xml:space="preserve"> tháng </w:t>
      </w:r>
      <w:r w:rsidRPr="005F27A5">
        <w:rPr>
          <w:lang w:val="nl-NL"/>
        </w:rPr>
        <w:t>12</w:t>
      </w:r>
      <w:r w:rsidRPr="0097051E">
        <w:rPr>
          <w:lang w:val="vi-VN"/>
        </w:rPr>
        <w:t xml:space="preserve"> năm 20</w:t>
      </w:r>
      <w:r w:rsidRPr="005F27A5">
        <w:rPr>
          <w:lang w:val="nl-NL"/>
        </w:rPr>
        <w:t>20</w:t>
      </w:r>
      <w:r w:rsidRPr="0097051E">
        <w:rPr>
          <w:lang w:val="vi-VN"/>
        </w:rPr>
        <w:t xml:space="preserve"> của Bộ Tài chính hướng dẫn một số điều </w:t>
      </w:r>
      <w:r w:rsidRPr="005F27A5">
        <w:rPr>
          <w:lang w:val="nl-NL"/>
        </w:rPr>
        <w:t xml:space="preserve">về quản trị công ty áp dụng đối với công ty đại chúng tại </w:t>
      </w:r>
      <w:r w:rsidRPr="0097051E">
        <w:rPr>
          <w:lang w:val="vi-VN"/>
        </w:rPr>
        <w:t xml:space="preserve">Nghị định số </w:t>
      </w:r>
      <w:r w:rsidRPr="005F27A5">
        <w:rPr>
          <w:lang w:val="nl-NL"/>
        </w:rPr>
        <w:t xml:space="preserve">155/2020/NĐ-CP </w:t>
      </w:r>
      <w:r w:rsidRPr="0097051E">
        <w:rPr>
          <w:lang w:val="vi-VN"/>
        </w:rPr>
        <w:t xml:space="preserve">ngày </w:t>
      </w:r>
      <w:r w:rsidRPr="005F27A5">
        <w:rPr>
          <w:lang w:val="nl-NL"/>
        </w:rPr>
        <w:t>31</w:t>
      </w:r>
      <w:r w:rsidRPr="0097051E">
        <w:rPr>
          <w:lang w:val="vi-VN"/>
        </w:rPr>
        <w:t xml:space="preserve"> tháng </w:t>
      </w:r>
      <w:r w:rsidRPr="005F27A5">
        <w:rPr>
          <w:lang w:val="nl-NL"/>
        </w:rPr>
        <w:t>12</w:t>
      </w:r>
      <w:r w:rsidRPr="0097051E">
        <w:rPr>
          <w:lang w:val="vi-VN"/>
        </w:rPr>
        <w:t xml:space="preserve"> năm 20</w:t>
      </w:r>
      <w:r w:rsidRPr="005F27A5">
        <w:rPr>
          <w:lang w:val="nl-NL"/>
        </w:rPr>
        <w:t>20</w:t>
      </w:r>
      <w:r w:rsidRPr="0097051E">
        <w:rPr>
          <w:lang w:val="vi-VN"/>
        </w:rPr>
        <w:t xml:space="preserve"> của Chính phủ </w:t>
      </w:r>
      <w:r w:rsidRPr="005F27A5">
        <w:rPr>
          <w:lang w:val="nl-NL"/>
        </w:rPr>
        <w:t>quy định chi tiết thi hành một số điều của Luật Chứng khoán</w:t>
      </w:r>
      <w:r w:rsidRPr="0097051E">
        <w:rPr>
          <w:bCs/>
          <w:lang w:val="nl-NL"/>
        </w:rPr>
        <w:t xml:space="preserve">; </w:t>
      </w:r>
    </w:p>
    <w:p w14:paraId="16242737" w14:textId="77777777" w:rsidR="00534225" w:rsidRPr="0097051E" w:rsidRDefault="00534225" w:rsidP="0097051E">
      <w:pPr>
        <w:widowControl w:val="0"/>
        <w:numPr>
          <w:ilvl w:val="0"/>
          <w:numId w:val="23"/>
        </w:numPr>
        <w:jc w:val="both"/>
        <w:rPr>
          <w:bCs/>
          <w:lang w:val="nl-NL"/>
        </w:rPr>
      </w:pPr>
      <w:r w:rsidRPr="0097051E">
        <w:rPr>
          <w:bCs/>
          <w:lang w:val="nl-NL"/>
        </w:rPr>
        <w:t xml:space="preserve">Quy chế </w:t>
      </w:r>
      <w:r w:rsidR="000D102D" w:rsidRPr="0097051E">
        <w:rPr>
          <w:bCs/>
          <w:lang w:val="nl-NL"/>
        </w:rPr>
        <w:t>hoạt động của Hội đồng quản trị</w:t>
      </w:r>
      <w:r w:rsidRPr="0097051E">
        <w:rPr>
          <w:bCs/>
          <w:lang w:val="nl-NL"/>
        </w:rPr>
        <w:t xml:space="preserve"> Tổng công ty cổ phần bảo hiểm Petrolimex được ban hành kèm theo Quyết định số 3</w:t>
      </w:r>
      <w:r w:rsidR="000D102D" w:rsidRPr="0097051E">
        <w:rPr>
          <w:bCs/>
          <w:lang w:val="nl-NL"/>
        </w:rPr>
        <w:t>2</w:t>
      </w:r>
      <w:r w:rsidRPr="0097051E">
        <w:rPr>
          <w:bCs/>
          <w:lang w:val="nl-NL"/>
        </w:rPr>
        <w:t>/2021/PJICO/QĐ-HĐQT ngày 08/6/2021.</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87"/>
        <w:gridCol w:w="4302"/>
        <w:gridCol w:w="4828"/>
        <w:gridCol w:w="2649"/>
      </w:tblGrid>
      <w:tr w:rsidR="00584E2A" w:rsidRPr="0097051E" w14:paraId="64364496" w14:textId="77777777" w:rsidTr="0062446A">
        <w:trPr>
          <w:trHeight w:val="758"/>
        </w:trPr>
        <w:tc>
          <w:tcPr>
            <w:tcW w:w="851" w:type="dxa"/>
            <w:vAlign w:val="center"/>
          </w:tcPr>
          <w:p w14:paraId="04012E5E" w14:textId="77777777" w:rsidR="00384CE6" w:rsidRPr="0097051E" w:rsidRDefault="00384CE6" w:rsidP="0097051E">
            <w:pPr>
              <w:jc w:val="center"/>
              <w:rPr>
                <w:b/>
              </w:rPr>
            </w:pPr>
            <w:r w:rsidRPr="0097051E">
              <w:rPr>
                <w:b/>
              </w:rPr>
              <w:t>STT</w:t>
            </w:r>
          </w:p>
        </w:tc>
        <w:tc>
          <w:tcPr>
            <w:tcW w:w="1687" w:type="dxa"/>
            <w:vAlign w:val="center"/>
          </w:tcPr>
          <w:p w14:paraId="3C5C8744" w14:textId="77777777" w:rsidR="00384CE6" w:rsidRPr="0097051E" w:rsidRDefault="00384CE6" w:rsidP="0097051E">
            <w:pPr>
              <w:jc w:val="center"/>
              <w:rPr>
                <w:b/>
              </w:rPr>
            </w:pPr>
            <w:r w:rsidRPr="0097051E">
              <w:rPr>
                <w:b/>
              </w:rPr>
              <w:t>Điều khoản</w:t>
            </w:r>
          </w:p>
        </w:tc>
        <w:tc>
          <w:tcPr>
            <w:tcW w:w="4302" w:type="dxa"/>
            <w:vAlign w:val="center"/>
          </w:tcPr>
          <w:p w14:paraId="44BE219B" w14:textId="77777777" w:rsidR="00384CE6" w:rsidRPr="0097051E" w:rsidRDefault="00EC73E5" w:rsidP="0097051E">
            <w:pPr>
              <w:jc w:val="center"/>
              <w:rPr>
                <w:b/>
              </w:rPr>
            </w:pPr>
            <w:r w:rsidRPr="0097051E">
              <w:rPr>
                <w:b/>
              </w:rPr>
              <w:t>Quy chế hiện hành</w:t>
            </w:r>
          </w:p>
        </w:tc>
        <w:tc>
          <w:tcPr>
            <w:tcW w:w="4828" w:type="dxa"/>
            <w:vAlign w:val="center"/>
          </w:tcPr>
          <w:p w14:paraId="4D1C1259" w14:textId="77777777" w:rsidR="00384CE6" w:rsidRPr="0097051E" w:rsidRDefault="00EC73E5" w:rsidP="0097051E">
            <w:pPr>
              <w:jc w:val="center"/>
              <w:rPr>
                <w:b/>
              </w:rPr>
            </w:pPr>
            <w:r w:rsidRPr="0097051E">
              <w:rPr>
                <w:b/>
              </w:rPr>
              <w:t>Dự thảo Quy chế 2026</w:t>
            </w:r>
          </w:p>
        </w:tc>
        <w:tc>
          <w:tcPr>
            <w:tcW w:w="2649" w:type="dxa"/>
            <w:vAlign w:val="center"/>
          </w:tcPr>
          <w:p w14:paraId="48F8AE68" w14:textId="77777777" w:rsidR="00701114" w:rsidRPr="0097051E" w:rsidRDefault="00384CE6" w:rsidP="0097051E">
            <w:pPr>
              <w:jc w:val="center"/>
              <w:rPr>
                <w:b/>
              </w:rPr>
            </w:pPr>
            <w:r w:rsidRPr="0097051E">
              <w:rPr>
                <w:b/>
              </w:rPr>
              <w:t xml:space="preserve">Lý do/Căn cứ </w:t>
            </w:r>
          </w:p>
          <w:p w14:paraId="0747AFF7" w14:textId="77777777" w:rsidR="00384CE6" w:rsidRPr="0097051E" w:rsidRDefault="00384CE6" w:rsidP="0097051E">
            <w:pPr>
              <w:jc w:val="center"/>
              <w:rPr>
                <w:b/>
              </w:rPr>
            </w:pPr>
            <w:r w:rsidRPr="0097051E">
              <w:rPr>
                <w:b/>
              </w:rPr>
              <w:t>sửa đổi, bổ sung</w:t>
            </w:r>
          </w:p>
        </w:tc>
      </w:tr>
      <w:tr w:rsidR="00584E2A" w:rsidRPr="005F27A5" w14:paraId="76813177" w14:textId="77777777" w:rsidTr="0062446A">
        <w:trPr>
          <w:trHeight w:val="2305"/>
        </w:trPr>
        <w:tc>
          <w:tcPr>
            <w:tcW w:w="851" w:type="dxa"/>
            <w:vAlign w:val="center"/>
          </w:tcPr>
          <w:p w14:paraId="10F20EA1" w14:textId="77777777" w:rsidR="00384CE6" w:rsidRPr="0097051E" w:rsidRDefault="00384CE6" w:rsidP="0097051E">
            <w:pPr>
              <w:numPr>
                <w:ilvl w:val="0"/>
                <w:numId w:val="26"/>
              </w:numPr>
              <w:rPr>
                <w:bCs/>
              </w:rPr>
            </w:pPr>
          </w:p>
        </w:tc>
        <w:tc>
          <w:tcPr>
            <w:tcW w:w="1687" w:type="dxa"/>
            <w:vAlign w:val="center"/>
          </w:tcPr>
          <w:p w14:paraId="3127EBB0" w14:textId="77777777" w:rsidR="00384CE6" w:rsidRPr="0097051E" w:rsidRDefault="000D102D" w:rsidP="0097051E">
            <w:pPr>
              <w:jc w:val="center"/>
              <w:rPr>
                <w:bCs/>
              </w:rPr>
            </w:pPr>
            <w:r w:rsidRPr="0097051E">
              <w:rPr>
                <w:bCs/>
              </w:rPr>
              <w:t>Căn cứ pháp lý</w:t>
            </w:r>
          </w:p>
        </w:tc>
        <w:tc>
          <w:tcPr>
            <w:tcW w:w="4302" w:type="dxa"/>
            <w:vAlign w:val="center"/>
          </w:tcPr>
          <w:p w14:paraId="6389976D" w14:textId="77777777" w:rsidR="000D102D" w:rsidRPr="0097051E" w:rsidRDefault="000D102D" w:rsidP="0097051E">
            <w:pPr>
              <w:ind w:firstLine="720"/>
              <w:jc w:val="both"/>
              <w:rPr>
                <w:iCs/>
                <w:color w:val="000000"/>
              </w:rPr>
            </w:pPr>
            <w:r w:rsidRPr="0097051E">
              <w:rPr>
                <w:iCs/>
                <w:color w:val="000000"/>
              </w:rPr>
              <w:t>Căn cứ Luật Doanh nghiệp số 59/2020/QH14 ngày 17/06/ 2020;</w:t>
            </w:r>
          </w:p>
          <w:p w14:paraId="30831E4B" w14:textId="77777777" w:rsidR="000D102D" w:rsidRPr="0097051E" w:rsidRDefault="000D102D" w:rsidP="0097051E">
            <w:pPr>
              <w:ind w:firstLine="720"/>
              <w:jc w:val="both"/>
              <w:rPr>
                <w:color w:val="000000"/>
              </w:rPr>
            </w:pPr>
            <w:r w:rsidRPr="0097051E">
              <w:rPr>
                <w:iCs/>
                <w:color w:val="000000"/>
              </w:rPr>
              <w:t>Căn cứ Luật Chứng khoán số 54/2019/QH14 ngày 26/11/2019;</w:t>
            </w:r>
          </w:p>
          <w:p w14:paraId="312DFA17" w14:textId="77777777" w:rsidR="000D102D" w:rsidRPr="0097051E" w:rsidRDefault="000D102D" w:rsidP="0097051E">
            <w:pPr>
              <w:ind w:firstLine="720"/>
              <w:jc w:val="both"/>
              <w:rPr>
                <w:color w:val="000000"/>
              </w:rPr>
            </w:pPr>
            <w:r w:rsidRPr="0097051E">
              <w:rPr>
                <w:color w:val="000000"/>
              </w:rPr>
              <w:t>Căn cứ Luật kinh doanh Bảo hiểm số 24/2000/QH10 ngày 19/12/2000 và Luật sửa đổi, bổ sung một số điều Luật kinh doanh Bảo hiểm số 61/2010/QH12 ngày 24/11/2010;</w:t>
            </w:r>
          </w:p>
          <w:p w14:paraId="4BE00BD6" w14:textId="77777777" w:rsidR="000D102D" w:rsidRPr="0097051E" w:rsidRDefault="000D102D" w:rsidP="0097051E">
            <w:pPr>
              <w:ind w:firstLine="720"/>
              <w:jc w:val="both"/>
              <w:rPr>
                <w:color w:val="000000"/>
              </w:rPr>
            </w:pPr>
            <w:r w:rsidRPr="0097051E">
              <w:rPr>
                <w:iCs/>
                <w:color w:val="000000"/>
              </w:rPr>
              <w:t>Căn cứ Nghị định số</w:t>
            </w:r>
            <w:r w:rsidRPr="0097051E">
              <w:rPr>
                <w:color w:val="000000"/>
              </w:rPr>
              <w:t> </w:t>
            </w:r>
            <w:r w:rsidRPr="0097051E">
              <w:rPr>
                <w:iCs/>
                <w:color w:val="000000"/>
              </w:rPr>
              <w:t>155/2020/NĐ-CP ngày 31/12/2020 của Chính phủ quy định chi tiết thi hành một số điều của Luật Chứng khoán;</w:t>
            </w:r>
          </w:p>
          <w:p w14:paraId="6D32F585" w14:textId="77777777" w:rsidR="000D102D" w:rsidRPr="0097051E" w:rsidRDefault="000D102D" w:rsidP="0097051E">
            <w:pPr>
              <w:ind w:firstLine="720"/>
              <w:jc w:val="both"/>
              <w:rPr>
                <w:color w:val="000000"/>
              </w:rPr>
            </w:pPr>
            <w:r w:rsidRPr="0097051E">
              <w:rPr>
                <w:iCs/>
                <w:color w:val="000000"/>
              </w:rPr>
              <w:t xml:space="preserve">Căn cứ Thông tư số 116/2020/TT-BTC ngày 31/12/2020 của Bộ trưởng Bộ Tài chính hướng dẫn một số điều về quản trị công ty áp dụng đối với công ty đại chúng tại Nghị định số 155/2020/NĐ-CP ngày 31 tháng 12 năm 2020 của Chính </w:t>
            </w:r>
            <w:r w:rsidRPr="0097051E">
              <w:rPr>
                <w:iCs/>
                <w:color w:val="000000"/>
              </w:rPr>
              <w:lastRenderedPageBreak/>
              <w:t>phủ quy định chi tiết thi hành một số điều của Luật Chứng khoán;</w:t>
            </w:r>
          </w:p>
          <w:p w14:paraId="5701D4EB" w14:textId="77777777" w:rsidR="000D102D" w:rsidRPr="0097051E" w:rsidRDefault="000D102D" w:rsidP="0097051E">
            <w:pPr>
              <w:ind w:firstLine="720"/>
              <w:jc w:val="both"/>
              <w:rPr>
                <w:iCs/>
                <w:color w:val="000000"/>
              </w:rPr>
            </w:pPr>
            <w:r w:rsidRPr="0097051E">
              <w:rPr>
                <w:iCs/>
                <w:color w:val="000000"/>
              </w:rPr>
              <w:t>Căn cứ Điều lệ Tổng công ty cổ phần Bảo hiểm Petrolimex được Đại hội đồng cổ đông thông qua ngày 19/04/2021;</w:t>
            </w:r>
          </w:p>
          <w:p w14:paraId="7C5220E5" w14:textId="77777777" w:rsidR="000D102D" w:rsidRPr="0097051E" w:rsidRDefault="000D102D" w:rsidP="0097051E">
            <w:pPr>
              <w:ind w:firstLine="720"/>
              <w:jc w:val="both"/>
              <w:rPr>
                <w:color w:val="000000"/>
              </w:rPr>
            </w:pPr>
            <w:r w:rsidRPr="0097051E">
              <w:rPr>
                <w:iCs/>
                <w:color w:val="000000"/>
              </w:rPr>
              <w:t>Căn cứ Nghị quyết Đại hội đồng cổ đông số 01/2021/PJICO-NQ-ĐHĐCĐ ngày 19 tháng 04 năm 2021;</w:t>
            </w:r>
          </w:p>
          <w:p w14:paraId="75C4F61C" w14:textId="77777777" w:rsidR="000D102D" w:rsidRPr="0097051E" w:rsidRDefault="000D102D" w:rsidP="0097051E">
            <w:pPr>
              <w:ind w:firstLine="720"/>
              <w:jc w:val="both"/>
              <w:rPr>
                <w:color w:val="000000"/>
              </w:rPr>
            </w:pPr>
            <w:r w:rsidRPr="0097051E">
              <w:rPr>
                <w:iCs/>
                <w:color w:val="000000"/>
              </w:rPr>
              <w:t>Hội đồng quản trị ban hành Quy chế hoạt động của Hội đồng quản trị Tổng công ty cổ phần Bảo hiểm Petrolimex.</w:t>
            </w:r>
          </w:p>
          <w:p w14:paraId="2022995E" w14:textId="77777777" w:rsidR="000D102D" w:rsidRPr="0097051E" w:rsidRDefault="000D102D" w:rsidP="0097051E">
            <w:pPr>
              <w:ind w:firstLine="720"/>
              <w:jc w:val="both"/>
              <w:rPr>
                <w:color w:val="000000"/>
              </w:rPr>
            </w:pPr>
            <w:r w:rsidRPr="0097051E">
              <w:rPr>
                <w:iCs/>
                <w:color w:val="000000"/>
              </w:rPr>
              <w:t>Quy chế hoạt động của Hội đồng quản trị Tổng công ty cổ phần Bảo hiểm Petrolimex bao gồm các nội dung sau:</w:t>
            </w:r>
          </w:p>
          <w:p w14:paraId="6A62751A" w14:textId="77777777" w:rsidR="00384CE6" w:rsidRPr="0097051E" w:rsidRDefault="00384CE6" w:rsidP="0097051E">
            <w:pPr>
              <w:jc w:val="both"/>
              <w:rPr>
                <w:bCs/>
              </w:rPr>
            </w:pPr>
          </w:p>
        </w:tc>
        <w:tc>
          <w:tcPr>
            <w:tcW w:w="4828" w:type="dxa"/>
            <w:vAlign w:val="center"/>
          </w:tcPr>
          <w:p w14:paraId="5E334AFF" w14:textId="77777777" w:rsidR="000D102D" w:rsidRPr="0097051E" w:rsidRDefault="000D102D" w:rsidP="0097051E">
            <w:pPr>
              <w:widowControl w:val="0"/>
              <w:ind w:firstLine="720"/>
              <w:jc w:val="both"/>
              <w:rPr>
                <w:lang w:val="nl-NL"/>
              </w:rPr>
            </w:pPr>
            <w:r w:rsidRPr="0097051E">
              <w:rPr>
                <w:lang w:val="nl-NL"/>
              </w:rPr>
              <w:lastRenderedPageBreak/>
              <w:t>Căn cứ Luật Doanh nghiệp số 59/2020/QH14 ngày 17/6/2020 đã được sửa đổi, bổ sung một số điều theo Luật số 03/2022/QH15 và Luật số 76/2025/QH15;</w:t>
            </w:r>
          </w:p>
          <w:p w14:paraId="70D10FB2" w14:textId="77777777" w:rsidR="000D102D" w:rsidRPr="0097051E" w:rsidRDefault="000D102D" w:rsidP="0097051E">
            <w:pPr>
              <w:widowControl w:val="0"/>
              <w:ind w:firstLine="720"/>
              <w:jc w:val="both"/>
              <w:rPr>
                <w:lang w:val="nl-NL"/>
              </w:rPr>
            </w:pPr>
            <w:r w:rsidRPr="0097051E">
              <w:rPr>
                <w:lang w:val="nl-NL"/>
              </w:rPr>
              <w:t>Căn cứ Luật Chứng khoán số 54/2019/QH14 ngày 26/11/2019 đã được sửa đổi, bổ sung một số điều theo Luật số 56/2024/QH15;</w:t>
            </w:r>
          </w:p>
          <w:p w14:paraId="1F54118F" w14:textId="77777777" w:rsidR="000D102D" w:rsidRPr="0097051E" w:rsidRDefault="000D102D" w:rsidP="0097051E">
            <w:pPr>
              <w:widowControl w:val="0"/>
              <w:ind w:firstLine="720"/>
              <w:jc w:val="both"/>
              <w:rPr>
                <w:rStyle w:val="font12boldblack"/>
                <w:lang w:val="nl-NL"/>
              </w:rPr>
            </w:pPr>
            <w:r w:rsidRPr="0097051E">
              <w:rPr>
                <w:lang w:val="nl-NL"/>
              </w:rPr>
              <w:t>Căn cứ Luật Kinh doanh Bảo hiểm số</w:t>
            </w:r>
            <w:r w:rsidRPr="0097051E">
              <w:rPr>
                <w:rStyle w:val="font12boldblack"/>
                <w:lang w:val="nl-NL"/>
              </w:rPr>
              <w:t xml:space="preserve"> 08/2022/QH15 ngày 16/06/2022 </w:t>
            </w:r>
            <w:r w:rsidRPr="0097051E">
              <w:rPr>
                <w:lang w:val="nl-NL"/>
              </w:rPr>
              <w:t>đã được sửa đổi, bổ sung một số điều theo</w:t>
            </w:r>
            <w:r w:rsidRPr="0097051E">
              <w:rPr>
                <w:rStyle w:val="font12boldblack"/>
                <w:lang w:val="nl-NL"/>
              </w:rPr>
              <w:t xml:space="preserve"> Luật số 139/2025/QH15;</w:t>
            </w:r>
          </w:p>
          <w:p w14:paraId="77325205" w14:textId="77777777" w:rsidR="000D102D" w:rsidRPr="0097051E" w:rsidRDefault="000D102D" w:rsidP="0097051E">
            <w:pPr>
              <w:widowControl w:val="0"/>
              <w:ind w:firstLine="720"/>
              <w:jc w:val="both"/>
              <w:rPr>
                <w:lang w:val="nl-NL"/>
              </w:rPr>
            </w:pPr>
            <w:r w:rsidRPr="0097051E">
              <w:rPr>
                <w:lang w:val="nl-NL"/>
              </w:rPr>
              <w:t>Căn cứ Nghị định số 155/2020/NĐ-CP ngày 31/12/2020 của Chính Phủ đã được sửa đổi, bổ sung một số điều theo Nghị định số 245/2025/NĐ-CP.</w:t>
            </w:r>
          </w:p>
          <w:p w14:paraId="6081770F" w14:textId="77777777" w:rsidR="000D102D" w:rsidRPr="0097051E" w:rsidRDefault="000D102D" w:rsidP="0097051E">
            <w:pPr>
              <w:widowControl w:val="0"/>
              <w:ind w:firstLine="720"/>
              <w:jc w:val="both"/>
              <w:rPr>
                <w:bCs/>
                <w:lang w:val="nl-NL"/>
              </w:rPr>
            </w:pPr>
            <w:r w:rsidRPr="0097051E">
              <w:rPr>
                <w:lang w:val="nl-NL"/>
              </w:rPr>
              <w:t xml:space="preserve">Căn cứ </w:t>
            </w:r>
            <w:r w:rsidRPr="0097051E">
              <w:rPr>
                <w:lang w:val="vi-VN"/>
              </w:rPr>
              <w:t xml:space="preserve">Thông tư số </w:t>
            </w:r>
            <w:r w:rsidRPr="005F27A5">
              <w:rPr>
                <w:lang w:val="nl-NL"/>
              </w:rPr>
              <w:t>116</w:t>
            </w:r>
            <w:r w:rsidRPr="0097051E">
              <w:rPr>
                <w:lang w:val="vi-VN"/>
              </w:rPr>
              <w:t>/20</w:t>
            </w:r>
            <w:r w:rsidRPr="005F27A5">
              <w:rPr>
                <w:lang w:val="nl-NL"/>
              </w:rPr>
              <w:t>20</w:t>
            </w:r>
            <w:r w:rsidRPr="0097051E">
              <w:rPr>
                <w:lang w:val="vi-VN"/>
              </w:rPr>
              <w:t xml:space="preserve">/TT-BTC ngày </w:t>
            </w:r>
            <w:r w:rsidRPr="005F27A5">
              <w:rPr>
                <w:lang w:val="nl-NL"/>
              </w:rPr>
              <w:t>31</w:t>
            </w:r>
            <w:r w:rsidRPr="0097051E">
              <w:rPr>
                <w:lang w:val="vi-VN"/>
              </w:rPr>
              <w:t xml:space="preserve"> tháng </w:t>
            </w:r>
            <w:r w:rsidRPr="005F27A5">
              <w:rPr>
                <w:lang w:val="nl-NL"/>
              </w:rPr>
              <w:t>12</w:t>
            </w:r>
            <w:r w:rsidRPr="0097051E">
              <w:rPr>
                <w:lang w:val="vi-VN"/>
              </w:rPr>
              <w:t xml:space="preserve"> năm 20</w:t>
            </w:r>
            <w:r w:rsidRPr="005F27A5">
              <w:rPr>
                <w:lang w:val="nl-NL"/>
              </w:rPr>
              <w:t>20</w:t>
            </w:r>
            <w:r w:rsidRPr="0097051E">
              <w:rPr>
                <w:lang w:val="vi-VN"/>
              </w:rPr>
              <w:t xml:space="preserve"> của Bộ Tài chính hướng dẫn một số điều </w:t>
            </w:r>
            <w:r w:rsidRPr="005F27A5">
              <w:rPr>
                <w:lang w:val="nl-NL"/>
              </w:rPr>
              <w:t xml:space="preserve">về quản trị công ty áp </w:t>
            </w:r>
            <w:r w:rsidRPr="005F27A5">
              <w:rPr>
                <w:lang w:val="nl-NL"/>
              </w:rPr>
              <w:lastRenderedPageBreak/>
              <w:t xml:space="preserve">dụng đối với công ty đại chúng tại </w:t>
            </w:r>
            <w:r w:rsidRPr="0097051E">
              <w:rPr>
                <w:lang w:val="vi-VN"/>
              </w:rPr>
              <w:t xml:space="preserve">Nghị định số </w:t>
            </w:r>
            <w:r w:rsidRPr="005F27A5">
              <w:rPr>
                <w:lang w:val="nl-NL"/>
              </w:rPr>
              <w:t xml:space="preserve">155/2020/NĐ-CP </w:t>
            </w:r>
            <w:r w:rsidRPr="0097051E">
              <w:rPr>
                <w:lang w:val="vi-VN"/>
              </w:rPr>
              <w:t xml:space="preserve">ngày </w:t>
            </w:r>
            <w:r w:rsidRPr="005F27A5">
              <w:rPr>
                <w:lang w:val="nl-NL"/>
              </w:rPr>
              <w:t>31</w:t>
            </w:r>
            <w:r w:rsidRPr="0097051E">
              <w:rPr>
                <w:lang w:val="vi-VN"/>
              </w:rPr>
              <w:t xml:space="preserve"> tháng </w:t>
            </w:r>
            <w:r w:rsidRPr="005F27A5">
              <w:rPr>
                <w:lang w:val="nl-NL"/>
              </w:rPr>
              <w:t>12</w:t>
            </w:r>
            <w:r w:rsidRPr="0097051E">
              <w:rPr>
                <w:lang w:val="vi-VN"/>
              </w:rPr>
              <w:t xml:space="preserve"> năm 20</w:t>
            </w:r>
            <w:r w:rsidRPr="005F27A5">
              <w:rPr>
                <w:lang w:val="nl-NL"/>
              </w:rPr>
              <w:t>20</w:t>
            </w:r>
            <w:r w:rsidRPr="0097051E">
              <w:rPr>
                <w:lang w:val="vi-VN"/>
              </w:rPr>
              <w:t xml:space="preserve"> của Chính phủ </w:t>
            </w:r>
            <w:r w:rsidRPr="005F27A5">
              <w:rPr>
                <w:lang w:val="nl-NL"/>
              </w:rPr>
              <w:t>quy định chi tiết thi hành một số điều của Luật Chứng khoán</w:t>
            </w:r>
            <w:r w:rsidRPr="0097051E">
              <w:rPr>
                <w:bCs/>
                <w:lang w:val="nl-NL"/>
              </w:rPr>
              <w:t xml:space="preserve">; </w:t>
            </w:r>
          </w:p>
          <w:p w14:paraId="61C1745B" w14:textId="77777777" w:rsidR="000D102D" w:rsidRPr="0097051E" w:rsidRDefault="000D102D" w:rsidP="0097051E">
            <w:pPr>
              <w:widowControl w:val="0"/>
              <w:ind w:firstLine="720"/>
              <w:jc w:val="both"/>
              <w:rPr>
                <w:lang w:val="fr-FR"/>
              </w:rPr>
            </w:pPr>
            <w:r w:rsidRPr="0097051E">
              <w:rPr>
                <w:bCs/>
                <w:lang w:val="nl-NL"/>
              </w:rPr>
              <w:t>Căn cứ Điều lệ Tổng c</w:t>
            </w:r>
            <w:r w:rsidRPr="0097051E">
              <w:rPr>
                <w:lang w:val="nl-NL"/>
              </w:rPr>
              <w:t>ông ty</w:t>
            </w:r>
            <w:r w:rsidRPr="0097051E">
              <w:rPr>
                <w:bCs/>
                <w:lang w:val="nl-NL"/>
              </w:rPr>
              <w:t xml:space="preserve"> </w:t>
            </w:r>
            <w:r w:rsidRPr="0097051E">
              <w:rPr>
                <w:lang w:val="fr-FR"/>
              </w:rPr>
              <w:t>được Đại hội đồng cổ đông thông qua ngày 15 tháng 04 năm 2026.</w:t>
            </w:r>
          </w:p>
          <w:p w14:paraId="5599B534" w14:textId="77777777" w:rsidR="000D102D" w:rsidRPr="005F27A5" w:rsidRDefault="000D102D" w:rsidP="0097051E">
            <w:pPr>
              <w:ind w:firstLine="720"/>
              <w:jc w:val="both"/>
              <w:rPr>
                <w:color w:val="000000"/>
                <w:lang w:val="fr-FR"/>
              </w:rPr>
            </w:pPr>
            <w:r w:rsidRPr="005F27A5">
              <w:rPr>
                <w:iCs/>
                <w:color w:val="000000"/>
                <w:lang w:val="fr-FR"/>
              </w:rPr>
              <w:t>Hội đồng quản trị ban hành Quy chế hoạt động của Hội đồng quản trị Tổng công ty cổ phần Bảo hiểm Petrolimex.</w:t>
            </w:r>
          </w:p>
          <w:p w14:paraId="04C9662F" w14:textId="77777777" w:rsidR="000D102D" w:rsidRPr="005F27A5" w:rsidRDefault="000D102D" w:rsidP="0097051E">
            <w:pPr>
              <w:ind w:firstLine="720"/>
              <w:jc w:val="both"/>
              <w:rPr>
                <w:color w:val="000000"/>
                <w:lang w:val="fr-FR"/>
              </w:rPr>
            </w:pPr>
            <w:r w:rsidRPr="005F27A5">
              <w:rPr>
                <w:iCs/>
                <w:color w:val="000000"/>
                <w:lang w:val="fr-FR"/>
              </w:rPr>
              <w:t>Quy chế hoạt động của Hội đồng quản trị Tổng công ty cổ phần Bảo hiểm Petrolimex bao gồm các nội dung sau:</w:t>
            </w:r>
          </w:p>
          <w:p w14:paraId="3D61C7D4" w14:textId="77777777" w:rsidR="00384CE6" w:rsidRPr="0097051E" w:rsidRDefault="00384CE6" w:rsidP="0097051E">
            <w:pPr>
              <w:widowControl w:val="0"/>
              <w:jc w:val="both"/>
              <w:rPr>
                <w:lang w:val="fr-FR"/>
              </w:rPr>
            </w:pPr>
          </w:p>
        </w:tc>
        <w:tc>
          <w:tcPr>
            <w:tcW w:w="2649" w:type="dxa"/>
            <w:vAlign w:val="center"/>
          </w:tcPr>
          <w:p w14:paraId="6B3BF70A" w14:textId="77777777" w:rsidR="00384CE6" w:rsidRPr="005F27A5" w:rsidRDefault="00EC73E5" w:rsidP="0097051E">
            <w:pPr>
              <w:rPr>
                <w:bCs/>
                <w:lang w:val="fr-FR"/>
              </w:rPr>
            </w:pPr>
            <w:r w:rsidRPr="005F27A5">
              <w:rPr>
                <w:bCs/>
                <w:lang w:val="fr-FR"/>
              </w:rPr>
              <w:lastRenderedPageBreak/>
              <w:t>cập nhật, bổ sung lại hệ thống các văn bản quy phạm pháp luật hiện hành</w:t>
            </w:r>
          </w:p>
        </w:tc>
      </w:tr>
      <w:tr w:rsidR="00584E2A" w:rsidRPr="0097051E" w14:paraId="09333A49" w14:textId="77777777" w:rsidTr="0062446A">
        <w:trPr>
          <w:trHeight w:val="1067"/>
        </w:trPr>
        <w:tc>
          <w:tcPr>
            <w:tcW w:w="851" w:type="dxa"/>
            <w:vAlign w:val="center"/>
          </w:tcPr>
          <w:p w14:paraId="5553A5BB" w14:textId="77777777" w:rsidR="00384CE6" w:rsidRPr="005F27A5" w:rsidRDefault="00384CE6" w:rsidP="0097051E">
            <w:pPr>
              <w:numPr>
                <w:ilvl w:val="0"/>
                <w:numId w:val="26"/>
              </w:numPr>
              <w:rPr>
                <w:lang w:val="fr-FR"/>
              </w:rPr>
            </w:pPr>
          </w:p>
        </w:tc>
        <w:tc>
          <w:tcPr>
            <w:tcW w:w="1687" w:type="dxa"/>
            <w:vAlign w:val="center"/>
          </w:tcPr>
          <w:p w14:paraId="0509C862" w14:textId="77777777" w:rsidR="00384CE6" w:rsidRPr="0097051E" w:rsidRDefault="00EC73E5" w:rsidP="0097051E">
            <w:pPr>
              <w:jc w:val="center"/>
            </w:pPr>
            <w:r w:rsidRPr="0097051E">
              <w:t>Khoản</w:t>
            </w:r>
            <w:r w:rsidR="000D102D" w:rsidRPr="0097051E">
              <w:t xml:space="preserve"> 6 Điều 2</w:t>
            </w:r>
          </w:p>
        </w:tc>
        <w:tc>
          <w:tcPr>
            <w:tcW w:w="4302" w:type="dxa"/>
            <w:vAlign w:val="center"/>
          </w:tcPr>
          <w:p w14:paraId="63591C16" w14:textId="77777777" w:rsidR="000D102D" w:rsidRPr="0097051E" w:rsidRDefault="000D102D" w:rsidP="0097051E">
            <w:pPr>
              <w:jc w:val="both"/>
              <w:rPr>
                <w:color w:val="000000"/>
              </w:rPr>
            </w:pPr>
            <w:r w:rsidRPr="0097051E">
              <w:rPr>
                <w:color w:val="000000"/>
              </w:rPr>
              <w:t>6. Các từ ngữ đã được định nghĩa trong Điều lệ PJICO cũng có nghĩa tương tự như trong Quy chế này.</w:t>
            </w:r>
          </w:p>
          <w:p w14:paraId="6C975294" w14:textId="77777777" w:rsidR="00384CE6" w:rsidRPr="0097051E" w:rsidRDefault="00384CE6" w:rsidP="0097051E">
            <w:pPr>
              <w:jc w:val="center"/>
              <w:rPr>
                <w:bCs/>
              </w:rPr>
            </w:pPr>
          </w:p>
        </w:tc>
        <w:tc>
          <w:tcPr>
            <w:tcW w:w="4828" w:type="dxa"/>
            <w:vAlign w:val="center"/>
          </w:tcPr>
          <w:p w14:paraId="0447E8C3" w14:textId="77777777" w:rsidR="000D102D" w:rsidRPr="0097051E" w:rsidRDefault="000D102D" w:rsidP="0097051E">
            <w:pPr>
              <w:jc w:val="both"/>
              <w:rPr>
                <w:color w:val="000000"/>
              </w:rPr>
            </w:pPr>
            <w:r w:rsidRPr="0097051E">
              <w:rPr>
                <w:color w:val="000000"/>
              </w:rPr>
              <w:t>6. Các từ ngữ khác không được giải thích trong Quy chế này được hiểu theo quy định tại Điều lệ Tổng công ty.</w:t>
            </w:r>
          </w:p>
          <w:p w14:paraId="55B93105" w14:textId="77777777" w:rsidR="00384CE6" w:rsidRPr="0097051E" w:rsidRDefault="00384CE6" w:rsidP="0097051E">
            <w:pPr>
              <w:jc w:val="both"/>
            </w:pPr>
          </w:p>
        </w:tc>
        <w:tc>
          <w:tcPr>
            <w:tcW w:w="2649" w:type="dxa"/>
            <w:vAlign w:val="center"/>
          </w:tcPr>
          <w:p w14:paraId="3C9A5ECA" w14:textId="77777777" w:rsidR="00EC73E5" w:rsidRPr="0097051E" w:rsidRDefault="00EC73E5" w:rsidP="0097051E">
            <w:pPr>
              <w:jc w:val="both"/>
            </w:pPr>
          </w:p>
        </w:tc>
      </w:tr>
      <w:tr w:rsidR="00584E2A" w:rsidRPr="0097051E" w14:paraId="277BDB1A" w14:textId="77777777" w:rsidTr="0062446A">
        <w:trPr>
          <w:trHeight w:val="1832"/>
        </w:trPr>
        <w:tc>
          <w:tcPr>
            <w:tcW w:w="851" w:type="dxa"/>
            <w:vAlign w:val="center"/>
          </w:tcPr>
          <w:p w14:paraId="0D4FC044" w14:textId="77777777" w:rsidR="00384CE6" w:rsidRPr="0097051E" w:rsidRDefault="00384CE6" w:rsidP="0097051E">
            <w:pPr>
              <w:numPr>
                <w:ilvl w:val="0"/>
                <w:numId w:val="26"/>
              </w:numPr>
              <w:jc w:val="center"/>
            </w:pPr>
          </w:p>
        </w:tc>
        <w:tc>
          <w:tcPr>
            <w:tcW w:w="1687" w:type="dxa"/>
            <w:vAlign w:val="center"/>
          </w:tcPr>
          <w:p w14:paraId="478F9797" w14:textId="77777777" w:rsidR="00384CE6" w:rsidRPr="0097051E" w:rsidRDefault="000D102D" w:rsidP="0097051E">
            <w:pPr>
              <w:jc w:val="center"/>
            </w:pPr>
            <w:r w:rsidRPr="0097051E">
              <w:t>Điều 3</w:t>
            </w:r>
          </w:p>
        </w:tc>
        <w:tc>
          <w:tcPr>
            <w:tcW w:w="4302" w:type="dxa"/>
            <w:vAlign w:val="center"/>
          </w:tcPr>
          <w:p w14:paraId="6AB7601B" w14:textId="77777777" w:rsidR="00384CE6" w:rsidRPr="0097051E" w:rsidRDefault="000D102D" w:rsidP="0097051E">
            <w:pPr>
              <w:jc w:val="center"/>
              <w:rPr>
                <w:bCs/>
              </w:rPr>
            </w:pPr>
            <w:r w:rsidRPr="0097051E">
              <w:rPr>
                <w:bCs/>
              </w:rPr>
              <w:t>Chưa quy định</w:t>
            </w:r>
          </w:p>
        </w:tc>
        <w:tc>
          <w:tcPr>
            <w:tcW w:w="4828" w:type="dxa"/>
            <w:vAlign w:val="center"/>
          </w:tcPr>
          <w:p w14:paraId="17EEED5D" w14:textId="77777777" w:rsidR="000D102D" w:rsidRPr="0097051E" w:rsidRDefault="000D102D" w:rsidP="0097051E">
            <w:pPr>
              <w:shd w:val="clear" w:color="auto" w:fill="FFFFFF"/>
              <w:jc w:val="both"/>
              <w:rPr>
                <w:color w:val="000000"/>
              </w:rPr>
            </w:pPr>
            <w:bookmarkStart w:id="0" w:name="dieu_2_3"/>
            <w:r w:rsidRPr="0097051E">
              <w:rPr>
                <w:b/>
                <w:bCs/>
                <w:color w:val="000000"/>
              </w:rPr>
              <w:t>Điều 3. Nguyên tắc hoạt động của Hội đồng quản trị</w:t>
            </w:r>
            <w:bookmarkEnd w:id="0"/>
          </w:p>
          <w:p w14:paraId="4414BE6F" w14:textId="77777777" w:rsidR="000D102D" w:rsidRPr="0097051E" w:rsidRDefault="000D102D" w:rsidP="0097051E">
            <w:pPr>
              <w:shd w:val="clear" w:color="auto" w:fill="FFFFFF"/>
              <w:jc w:val="both"/>
              <w:rPr>
                <w:color w:val="000000"/>
              </w:rPr>
            </w:pPr>
            <w:r w:rsidRPr="0097051E">
              <w:rPr>
                <w:color w:val="000000"/>
              </w:rPr>
              <w:t>1.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triển của Công ty.</w:t>
            </w:r>
          </w:p>
          <w:p w14:paraId="6ADA8442" w14:textId="77777777" w:rsidR="000D102D" w:rsidRPr="0097051E" w:rsidRDefault="000D102D" w:rsidP="0097051E">
            <w:pPr>
              <w:jc w:val="both"/>
              <w:rPr>
                <w:color w:val="000000"/>
              </w:rPr>
            </w:pPr>
            <w:r w:rsidRPr="0097051E">
              <w:rPr>
                <w:color w:val="000000"/>
              </w:rPr>
              <w:t>2. Thành viên HĐQT tham gia công tác lãnh đạo, quản lý, giám sát hoạt động của PJICO theo sự phân công của Chủ tịch HĐQT.</w:t>
            </w:r>
            <w:r w:rsidRPr="0097051E">
              <w:rPr>
                <w:color w:val="000000"/>
              </w:rPr>
              <w:tab/>
            </w:r>
          </w:p>
          <w:p w14:paraId="5C10D34F" w14:textId="77777777" w:rsidR="000D102D" w:rsidRPr="0097051E" w:rsidRDefault="000D102D" w:rsidP="0097051E">
            <w:pPr>
              <w:jc w:val="both"/>
              <w:rPr>
                <w:color w:val="000000"/>
              </w:rPr>
            </w:pPr>
            <w:r w:rsidRPr="0097051E">
              <w:rPr>
                <w:color w:val="000000"/>
              </w:rPr>
              <w:t xml:space="preserve">3. HĐQT thảo luận và biểu quyết để đưa ra quyết định về mọi vấn đề quản trị PJICO trong phạm vi quyền hạn, nhiệm vụ được quy định thông qua bằng các nghị quyết, quyết định của HĐQT. </w:t>
            </w:r>
          </w:p>
          <w:p w14:paraId="0C8756F1" w14:textId="77777777" w:rsidR="00384CE6" w:rsidRPr="0097051E" w:rsidRDefault="000D102D" w:rsidP="0097051E">
            <w:pPr>
              <w:jc w:val="both"/>
              <w:rPr>
                <w:color w:val="000000"/>
              </w:rPr>
            </w:pPr>
            <w:r w:rsidRPr="0097051E">
              <w:rPr>
                <w:color w:val="000000"/>
              </w:rPr>
              <w:t xml:space="preserve">4. Nghị quyết, Quyết định của HĐQT được thông qua tại các phiên họp HĐQT hoặc xin ý </w:t>
            </w:r>
            <w:r w:rsidRPr="0097051E">
              <w:rPr>
                <w:color w:val="000000"/>
              </w:rPr>
              <w:lastRenderedPageBreak/>
              <w:t>kiến các thành viên HĐQT bằng văn bản, fax, thư điện tử theo quy định của Pháp luật và Điều lệ của PJICO.</w:t>
            </w:r>
          </w:p>
        </w:tc>
        <w:tc>
          <w:tcPr>
            <w:tcW w:w="2649" w:type="dxa"/>
            <w:vAlign w:val="center"/>
          </w:tcPr>
          <w:p w14:paraId="3F1F1BD7" w14:textId="77777777" w:rsidR="00384CE6" w:rsidRPr="0097051E" w:rsidRDefault="000D102D" w:rsidP="0097051E">
            <w:pPr>
              <w:tabs>
                <w:tab w:val="left" w:pos="1080"/>
              </w:tabs>
              <w:jc w:val="both"/>
              <w:rPr>
                <w:lang w:val="pt-BR"/>
              </w:rPr>
            </w:pPr>
            <w:r w:rsidRPr="0097051E">
              <w:rPr>
                <w:lang w:val="pt-BR"/>
              </w:rPr>
              <w:lastRenderedPageBreak/>
              <w:t>Chuyển nội dung Điều 16 lên</w:t>
            </w:r>
          </w:p>
        </w:tc>
      </w:tr>
      <w:tr w:rsidR="00584E2A" w:rsidRPr="0097051E" w14:paraId="30C6E595" w14:textId="77777777" w:rsidTr="0062446A">
        <w:trPr>
          <w:trHeight w:val="1549"/>
        </w:trPr>
        <w:tc>
          <w:tcPr>
            <w:tcW w:w="851" w:type="dxa"/>
            <w:vAlign w:val="center"/>
          </w:tcPr>
          <w:p w14:paraId="55913FAC" w14:textId="77777777" w:rsidR="00384CE6" w:rsidRPr="0097051E" w:rsidRDefault="00384CE6" w:rsidP="0097051E">
            <w:pPr>
              <w:numPr>
                <w:ilvl w:val="0"/>
                <w:numId w:val="26"/>
              </w:numPr>
              <w:jc w:val="center"/>
            </w:pPr>
          </w:p>
        </w:tc>
        <w:tc>
          <w:tcPr>
            <w:tcW w:w="1687" w:type="dxa"/>
            <w:vAlign w:val="center"/>
          </w:tcPr>
          <w:p w14:paraId="40449169" w14:textId="77777777" w:rsidR="00384CE6" w:rsidRPr="0097051E" w:rsidRDefault="00EC73E5" w:rsidP="0097051E">
            <w:pPr>
              <w:jc w:val="center"/>
            </w:pPr>
            <w:r w:rsidRPr="0097051E">
              <w:t>Điều 4</w:t>
            </w:r>
          </w:p>
        </w:tc>
        <w:tc>
          <w:tcPr>
            <w:tcW w:w="4302" w:type="dxa"/>
            <w:vAlign w:val="center"/>
          </w:tcPr>
          <w:p w14:paraId="218B4083" w14:textId="77777777" w:rsidR="000D102D" w:rsidRPr="0097051E" w:rsidRDefault="000D102D" w:rsidP="0097051E">
            <w:pPr>
              <w:jc w:val="both"/>
              <w:rPr>
                <w:color w:val="000000"/>
              </w:rPr>
            </w:pPr>
            <w:r w:rsidRPr="0097051E">
              <w:rPr>
                <w:b/>
                <w:bCs/>
                <w:color w:val="000000"/>
              </w:rPr>
              <w:t>Điều 4. Quyền được cung cấp thông tin của thành viên Hội đồng quản trị</w:t>
            </w:r>
          </w:p>
          <w:p w14:paraId="7636B37C" w14:textId="77777777" w:rsidR="000D102D" w:rsidRPr="0097051E" w:rsidRDefault="000D102D" w:rsidP="0097051E">
            <w:pPr>
              <w:jc w:val="both"/>
              <w:rPr>
                <w:color w:val="000000"/>
              </w:rPr>
            </w:pPr>
            <w:r w:rsidRPr="0097051E">
              <w:rPr>
                <w:color w:val="000000"/>
              </w:rPr>
              <w:t xml:space="preserve">Thành viên HĐQT có quyền yêu cầu TGĐ, Phó TGĐ, cán bộ quản lý các đơn vị trong </w:t>
            </w:r>
            <w:r w:rsidRPr="0097051E">
              <w:rPr>
                <w:color w:val="000000"/>
                <w:lang w:val="vi-VN"/>
              </w:rPr>
              <w:t>PJICO</w:t>
            </w:r>
            <w:r w:rsidRPr="0097051E">
              <w:rPr>
                <w:color w:val="000000"/>
              </w:rPr>
              <w:t xml:space="preserve"> cung cấp các thông tin, tài liệu về tình hình tài chính, hoạt động kinh doanh của </w:t>
            </w:r>
            <w:r w:rsidRPr="0097051E">
              <w:rPr>
                <w:color w:val="000000"/>
                <w:lang w:val="vi-VN"/>
              </w:rPr>
              <w:t>PJICO</w:t>
            </w:r>
            <w:r w:rsidRPr="0097051E">
              <w:rPr>
                <w:color w:val="000000"/>
              </w:rPr>
              <w:t xml:space="preserve"> và của các đơn vị trong </w:t>
            </w:r>
            <w:r w:rsidRPr="0097051E">
              <w:rPr>
                <w:color w:val="000000"/>
                <w:lang w:val="vi-VN"/>
              </w:rPr>
              <w:t>PJICO</w:t>
            </w:r>
            <w:r w:rsidRPr="0097051E">
              <w:rPr>
                <w:color w:val="000000"/>
              </w:rPr>
              <w:t xml:space="preserve">. </w:t>
            </w:r>
          </w:p>
          <w:p w14:paraId="2B908A58" w14:textId="77777777" w:rsidR="000D102D" w:rsidRPr="0097051E" w:rsidRDefault="000D102D" w:rsidP="0097051E">
            <w:pPr>
              <w:jc w:val="both"/>
              <w:rPr>
                <w:color w:val="000000"/>
              </w:rPr>
            </w:pPr>
            <w:r w:rsidRPr="0097051E">
              <w:rPr>
                <w:color w:val="000000"/>
              </w:rPr>
              <w:t xml:space="preserve">Người quản lý được yêu cầu phải cung cấp kịp thời, đầy đủ và chính xác các thông tin, tài liệu theo yêu cầu của thành viên HĐQT. </w:t>
            </w:r>
            <w:r w:rsidRPr="0097051E">
              <w:rPr>
                <w:strike/>
                <w:color w:val="000000"/>
              </w:rPr>
              <w:t>Trình tự, thủ tục yêu cầu và cung cấp thông tin do Điều lệ Tổng công ty quy định.</w:t>
            </w:r>
          </w:p>
          <w:p w14:paraId="631813D4" w14:textId="77777777" w:rsidR="00384CE6" w:rsidRPr="0097051E" w:rsidRDefault="00384CE6" w:rsidP="0097051E">
            <w:pPr>
              <w:jc w:val="both"/>
              <w:rPr>
                <w:bCs/>
              </w:rPr>
            </w:pPr>
          </w:p>
        </w:tc>
        <w:tc>
          <w:tcPr>
            <w:tcW w:w="4828" w:type="dxa"/>
            <w:vAlign w:val="center"/>
          </w:tcPr>
          <w:p w14:paraId="2DBD9F42" w14:textId="77777777" w:rsidR="000D102D" w:rsidRPr="0097051E" w:rsidRDefault="000D102D" w:rsidP="0097051E">
            <w:pPr>
              <w:jc w:val="both"/>
              <w:rPr>
                <w:color w:val="000000"/>
              </w:rPr>
            </w:pPr>
            <w:r w:rsidRPr="0097051E">
              <w:rPr>
                <w:b/>
                <w:bCs/>
                <w:color w:val="000000"/>
              </w:rPr>
              <w:t>Điều 5. Quyền được cung cấp thông tin của thành viên Hội đồng quản trị</w:t>
            </w:r>
          </w:p>
          <w:p w14:paraId="5E936863" w14:textId="77777777" w:rsidR="000D102D" w:rsidRPr="0097051E" w:rsidRDefault="000D102D" w:rsidP="0097051E">
            <w:pPr>
              <w:jc w:val="both"/>
              <w:rPr>
                <w:color w:val="000000"/>
              </w:rPr>
            </w:pPr>
            <w:r w:rsidRPr="0097051E">
              <w:rPr>
                <w:color w:val="000000"/>
              </w:rPr>
              <w:t xml:space="preserve">Thành viên HĐQT có quyền yêu cầu TGĐ, Phó TGĐ, cán bộ quản lý các đơn vị trong </w:t>
            </w:r>
            <w:r w:rsidRPr="0097051E">
              <w:rPr>
                <w:color w:val="000000"/>
                <w:lang w:val="vi-VN"/>
              </w:rPr>
              <w:t>PJICO</w:t>
            </w:r>
            <w:r w:rsidRPr="0097051E">
              <w:rPr>
                <w:color w:val="000000"/>
              </w:rPr>
              <w:t xml:space="preserve"> cung cấp các thông tin, tài liệu về tình hình tài chính, hoạt động kinh doanh của </w:t>
            </w:r>
            <w:r w:rsidRPr="0097051E">
              <w:rPr>
                <w:color w:val="000000"/>
                <w:lang w:val="vi-VN"/>
              </w:rPr>
              <w:t>PJICO</w:t>
            </w:r>
            <w:r w:rsidRPr="0097051E">
              <w:rPr>
                <w:color w:val="000000"/>
              </w:rPr>
              <w:t xml:space="preserve"> và của các đơn vị trong </w:t>
            </w:r>
            <w:r w:rsidRPr="0097051E">
              <w:rPr>
                <w:color w:val="000000"/>
                <w:lang w:val="vi-VN"/>
              </w:rPr>
              <w:t>PJICO</w:t>
            </w:r>
            <w:r w:rsidRPr="0097051E">
              <w:rPr>
                <w:color w:val="000000"/>
              </w:rPr>
              <w:t xml:space="preserve">. </w:t>
            </w:r>
          </w:p>
          <w:p w14:paraId="58188DC2" w14:textId="77777777" w:rsidR="00384CE6" w:rsidRPr="0097051E" w:rsidRDefault="000D102D" w:rsidP="0097051E">
            <w:pPr>
              <w:jc w:val="both"/>
            </w:pPr>
            <w:r w:rsidRPr="0097051E">
              <w:rPr>
                <w:color w:val="000000"/>
              </w:rPr>
              <w:t>Người quản lý được yêu cầu phải cung cấp kịp thời, đầy đủ và chính xác các thông tin, tài liệu theo yêu cầu của thành viên HĐQT.</w:t>
            </w:r>
          </w:p>
        </w:tc>
        <w:tc>
          <w:tcPr>
            <w:tcW w:w="2649" w:type="dxa"/>
            <w:vAlign w:val="center"/>
          </w:tcPr>
          <w:p w14:paraId="4103259E" w14:textId="77777777" w:rsidR="00384CE6" w:rsidRPr="0097051E" w:rsidRDefault="000D102D" w:rsidP="0097051E">
            <w:pPr>
              <w:tabs>
                <w:tab w:val="left" w:pos="1080"/>
              </w:tabs>
              <w:jc w:val="both"/>
              <w:rPr>
                <w:lang w:val="pt-BR"/>
              </w:rPr>
            </w:pPr>
            <w:r w:rsidRPr="0097051E">
              <w:rPr>
                <w:lang w:val="pt-BR"/>
              </w:rPr>
              <w:t>Hiệu chỉnh để thống nhất với Điều lệ Tổng công ty</w:t>
            </w:r>
          </w:p>
        </w:tc>
      </w:tr>
      <w:tr w:rsidR="00584E2A" w:rsidRPr="0097051E" w14:paraId="232A678D" w14:textId="77777777" w:rsidTr="0062446A">
        <w:trPr>
          <w:trHeight w:val="1684"/>
        </w:trPr>
        <w:tc>
          <w:tcPr>
            <w:tcW w:w="851" w:type="dxa"/>
            <w:vAlign w:val="center"/>
          </w:tcPr>
          <w:p w14:paraId="59624E08" w14:textId="77777777" w:rsidR="00384CE6" w:rsidRPr="0097051E" w:rsidRDefault="00384CE6" w:rsidP="0097051E">
            <w:pPr>
              <w:numPr>
                <w:ilvl w:val="0"/>
                <w:numId w:val="26"/>
              </w:numPr>
              <w:jc w:val="center"/>
            </w:pPr>
          </w:p>
        </w:tc>
        <w:tc>
          <w:tcPr>
            <w:tcW w:w="1687" w:type="dxa"/>
            <w:vAlign w:val="center"/>
          </w:tcPr>
          <w:p w14:paraId="2B587EFF" w14:textId="77777777" w:rsidR="00384CE6" w:rsidRPr="0097051E" w:rsidRDefault="000D102D" w:rsidP="0097051E">
            <w:pPr>
              <w:jc w:val="center"/>
            </w:pPr>
            <w:r w:rsidRPr="0097051E">
              <w:t>Khoản 2 Điều 5</w:t>
            </w:r>
          </w:p>
        </w:tc>
        <w:tc>
          <w:tcPr>
            <w:tcW w:w="4302" w:type="dxa"/>
            <w:vAlign w:val="center"/>
          </w:tcPr>
          <w:p w14:paraId="7D0CBA4D" w14:textId="77777777" w:rsidR="000D102D" w:rsidRPr="0097051E" w:rsidRDefault="000D102D" w:rsidP="0097051E">
            <w:pPr>
              <w:jc w:val="both"/>
              <w:rPr>
                <w:b/>
                <w:color w:val="000000"/>
              </w:rPr>
            </w:pPr>
            <w:r w:rsidRPr="0097051E">
              <w:rPr>
                <w:b/>
                <w:color w:val="000000"/>
              </w:rPr>
              <w:t>Điều 5. Nhiệm kỳ và số lượng thành viên HĐQT</w:t>
            </w:r>
          </w:p>
          <w:p w14:paraId="6C54089E" w14:textId="77777777" w:rsidR="000D102D" w:rsidRPr="0097051E" w:rsidRDefault="000D102D" w:rsidP="0097051E">
            <w:pPr>
              <w:jc w:val="both"/>
              <w:rPr>
                <w:color w:val="000000"/>
              </w:rPr>
            </w:pPr>
            <w:r w:rsidRPr="0097051E">
              <w:rPr>
                <w:color w:val="000000"/>
              </w:rPr>
              <w:t>2.  Nhiệm kỳ của thành viên HĐQT không quá năm (05) năm; Thành viên HĐQT có thể được bầu lại với số nhiệm kỳ không hạn chế. Cơ cấu thành viên HĐQT phải đảm bảo số lượng thành viên độc lập HĐQT theo quy định của Luật Doanh nghiệp và Pháp luật hiện hành. Một cá nhân chỉ được bầu làm thành viên độc lập HĐQT của Tổng công ty không quá 02 nhiệm kỳ liên tục.</w:t>
            </w:r>
          </w:p>
          <w:p w14:paraId="6EDB7DEC" w14:textId="77777777" w:rsidR="00384CE6" w:rsidRPr="0097051E" w:rsidRDefault="00384CE6" w:rsidP="0097051E">
            <w:pPr>
              <w:jc w:val="both"/>
              <w:rPr>
                <w:bCs/>
              </w:rPr>
            </w:pPr>
          </w:p>
        </w:tc>
        <w:tc>
          <w:tcPr>
            <w:tcW w:w="4828" w:type="dxa"/>
            <w:vAlign w:val="center"/>
          </w:tcPr>
          <w:p w14:paraId="757AAF8E" w14:textId="77777777" w:rsidR="000D102D" w:rsidRPr="0097051E" w:rsidRDefault="000D102D" w:rsidP="0097051E">
            <w:pPr>
              <w:jc w:val="both"/>
              <w:rPr>
                <w:b/>
                <w:color w:val="000000"/>
              </w:rPr>
            </w:pPr>
            <w:r w:rsidRPr="0097051E">
              <w:rPr>
                <w:b/>
                <w:color w:val="000000"/>
              </w:rPr>
              <w:t>Điều 6. Nhiệm kỳ và số lượng thành viên HĐQT</w:t>
            </w:r>
          </w:p>
          <w:p w14:paraId="7EADDF48" w14:textId="77777777" w:rsidR="000D102D" w:rsidRPr="0097051E" w:rsidRDefault="000D102D" w:rsidP="0097051E">
            <w:pPr>
              <w:jc w:val="both"/>
              <w:rPr>
                <w:color w:val="000000"/>
              </w:rPr>
            </w:pPr>
            <w:r w:rsidRPr="0097051E">
              <w:rPr>
                <w:color w:val="000000"/>
              </w:rPr>
              <w:t xml:space="preserve">2.  Nhiệm kỳ của thành viên HĐQT không quá năm (05) năm; Thành viên HĐQT có thể được bầu lại với số nhiệm kỳ không hạn chế. Cơ cấu thành viên HĐQT phải đảm bảo số lượng thành viên độc lập HĐQT theo quy định của Luật Doanh nghiệp, Pháp luật hiện hành </w:t>
            </w:r>
            <w:r w:rsidRPr="0097051E">
              <w:rPr>
                <w:color w:val="000000"/>
                <w:u w:val="single"/>
              </w:rPr>
              <w:t>và Điều lệ Tổng công ty</w:t>
            </w:r>
            <w:r w:rsidRPr="0097051E">
              <w:rPr>
                <w:color w:val="000000"/>
              </w:rPr>
              <w:t>. Một cá nhân chỉ được bầu làm thành viên độc lập HĐQT của Tổng công ty không quá 02 nhiệm kỳ liên tục.</w:t>
            </w:r>
          </w:p>
          <w:p w14:paraId="6F5BC15E" w14:textId="77777777" w:rsidR="00384CE6" w:rsidRPr="0097051E" w:rsidRDefault="00384CE6" w:rsidP="0097051E">
            <w:pPr>
              <w:jc w:val="both"/>
            </w:pPr>
          </w:p>
        </w:tc>
        <w:tc>
          <w:tcPr>
            <w:tcW w:w="2649" w:type="dxa"/>
            <w:vAlign w:val="center"/>
          </w:tcPr>
          <w:p w14:paraId="2E1628DD" w14:textId="77777777" w:rsidR="00384CE6" w:rsidRPr="0097051E" w:rsidRDefault="000D102D" w:rsidP="0097051E">
            <w:pPr>
              <w:tabs>
                <w:tab w:val="left" w:pos="1080"/>
              </w:tabs>
              <w:jc w:val="both"/>
              <w:rPr>
                <w:lang w:val="pt-BR"/>
              </w:rPr>
            </w:pPr>
            <w:r w:rsidRPr="0097051E">
              <w:rPr>
                <w:lang w:val="pt-BR"/>
              </w:rPr>
              <w:t>Bổ sung nội dung để thống nhất với Điều lệ Tổng công ty</w:t>
            </w:r>
          </w:p>
        </w:tc>
      </w:tr>
      <w:tr w:rsidR="00584E2A" w:rsidRPr="0097051E" w14:paraId="5DE10140" w14:textId="77777777" w:rsidTr="0062446A">
        <w:trPr>
          <w:trHeight w:val="1266"/>
        </w:trPr>
        <w:tc>
          <w:tcPr>
            <w:tcW w:w="851" w:type="dxa"/>
            <w:vAlign w:val="center"/>
          </w:tcPr>
          <w:p w14:paraId="2CD347B8" w14:textId="77777777" w:rsidR="00384CE6" w:rsidRPr="0097051E" w:rsidRDefault="00384CE6" w:rsidP="0097051E">
            <w:pPr>
              <w:numPr>
                <w:ilvl w:val="0"/>
                <w:numId w:val="26"/>
              </w:numPr>
              <w:jc w:val="center"/>
            </w:pPr>
          </w:p>
        </w:tc>
        <w:tc>
          <w:tcPr>
            <w:tcW w:w="1687" w:type="dxa"/>
            <w:vAlign w:val="center"/>
          </w:tcPr>
          <w:p w14:paraId="407319DD" w14:textId="77777777" w:rsidR="00384CE6" w:rsidRPr="0097051E" w:rsidRDefault="000D102D" w:rsidP="0097051E">
            <w:pPr>
              <w:jc w:val="center"/>
            </w:pPr>
            <w:r w:rsidRPr="0097051E">
              <w:t>Điểm c khoản 3 Điều 5</w:t>
            </w:r>
          </w:p>
        </w:tc>
        <w:tc>
          <w:tcPr>
            <w:tcW w:w="4302" w:type="dxa"/>
            <w:vAlign w:val="center"/>
          </w:tcPr>
          <w:p w14:paraId="1AB3F9B8" w14:textId="77777777" w:rsidR="000D102D" w:rsidRPr="0097051E" w:rsidRDefault="000D102D" w:rsidP="0097051E">
            <w:pPr>
              <w:jc w:val="both"/>
              <w:rPr>
                <w:strike/>
                <w:color w:val="000000"/>
              </w:rPr>
            </w:pPr>
            <w:r w:rsidRPr="0097051E">
              <w:rPr>
                <w:strike/>
                <w:color w:val="000000"/>
              </w:rPr>
              <w:t>c) Thành viên đó bị rối loạn tâm thần và thành viên khác của HĐQT có những bằng chứng chuyên môn chứng tỏ người đó không còn năng lực hành vi;</w:t>
            </w:r>
          </w:p>
          <w:p w14:paraId="057FD7CC" w14:textId="77777777" w:rsidR="00384CE6" w:rsidRPr="0097051E" w:rsidRDefault="00384CE6" w:rsidP="0097051E">
            <w:pPr>
              <w:jc w:val="both"/>
              <w:rPr>
                <w:bCs/>
              </w:rPr>
            </w:pPr>
          </w:p>
        </w:tc>
        <w:tc>
          <w:tcPr>
            <w:tcW w:w="4828" w:type="dxa"/>
            <w:vAlign w:val="center"/>
          </w:tcPr>
          <w:p w14:paraId="14865952" w14:textId="77777777" w:rsidR="00BD4A57" w:rsidRPr="0097051E" w:rsidRDefault="000D102D" w:rsidP="0097051E">
            <w:pPr>
              <w:jc w:val="center"/>
              <w:rPr>
                <w:color w:val="000000"/>
                <w:lang w:val="nl-NL" w:eastAsia="x-none"/>
              </w:rPr>
            </w:pPr>
            <w:r w:rsidRPr="0097051E">
              <w:rPr>
                <w:color w:val="000000"/>
                <w:lang w:val="nl-NL" w:eastAsia="x-none"/>
              </w:rPr>
              <w:t>Bãi bỏ để thống nhất với điểm a khoản 3 Điều 5</w:t>
            </w:r>
          </w:p>
        </w:tc>
        <w:tc>
          <w:tcPr>
            <w:tcW w:w="2649" w:type="dxa"/>
            <w:vAlign w:val="center"/>
          </w:tcPr>
          <w:p w14:paraId="011D58B6" w14:textId="77777777" w:rsidR="00384CE6" w:rsidRPr="0097051E" w:rsidRDefault="00384CE6" w:rsidP="0097051E">
            <w:pPr>
              <w:tabs>
                <w:tab w:val="left" w:pos="1080"/>
              </w:tabs>
              <w:jc w:val="both"/>
              <w:rPr>
                <w:lang w:val="pt-BR"/>
              </w:rPr>
            </w:pPr>
          </w:p>
        </w:tc>
      </w:tr>
      <w:tr w:rsidR="00EC73E5" w:rsidRPr="0097051E" w14:paraId="311FB7D4" w14:textId="77777777" w:rsidTr="0062446A">
        <w:trPr>
          <w:trHeight w:val="1266"/>
        </w:trPr>
        <w:tc>
          <w:tcPr>
            <w:tcW w:w="851" w:type="dxa"/>
            <w:vAlign w:val="center"/>
          </w:tcPr>
          <w:p w14:paraId="1BF9EADD" w14:textId="77777777" w:rsidR="00EC73E5" w:rsidRPr="0097051E" w:rsidRDefault="00EC73E5" w:rsidP="0097051E">
            <w:pPr>
              <w:numPr>
                <w:ilvl w:val="0"/>
                <w:numId w:val="26"/>
              </w:numPr>
              <w:jc w:val="center"/>
            </w:pPr>
          </w:p>
        </w:tc>
        <w:tc>
          <w:tcPr>
            <w:tcW w:w="1687" w:type="dxa"/>
            <w:vAlign w:val="center"/>
          </w:tcPr>
          <w:p w14:paraId="5DB3F3D4" w14:textId="77777777" w:rsidR="00EC73E5" w:rsidRPr="0097051E" w:rsidRDefault="000D102D" w:rsidP="0097051E">
            <w:pPr>
              <w:jc w:val="center"/>
            </w:pPr>
            <w:r w:rsidRPr="0097051E">
              <w:t>Điểm f khoản 3 Điêu 5</w:t>
            </w:r>
          </w:p>
        </w:tc>
        <w:tc>
          <w:tcPr>
            <w:tcW w:w="4302" w:type="dxa"/>
            <w:vAlign w:val="center"/>
          </w:tcPr>
          <w:p w14:paraId="5B9DFA29" w14:textId="77777777" w:rsidR="00EC73E5" w:rsidRPr="0097051E" w:rsidRDefault="000D102D" w:rsidP="0097051E">
            <w:pPr>
              <w:widowControl w:val="0"/>
              <w:autoSpaceDE w:val="0"/>
              <w:autoSpaceDN w:val="0"/>
              <w:jc w:val="center"/>
            </w:pPr>
            <w:r w:rsidRPr="0097051E">
              <w:t>Chưa quy định</w:t>
            </w:r>
          </w:p>
        </w:tc>
        <w:tc>
          <w:tcPr>
            <w:tcW w:w="4828" w:type="dxa"/>
            <w:vAlign w:val="center"/>
          </w:tcPr>
          <w:p w14:paraId="5692D12F" w14:textId="77777777" w:rsidR="00EC73E5" w:rsidRPr="0097051E" w:rsidRDefault="000D102D" w:rsidP="0097051E">
            <w:pPr>
              <w:widowControl w:val="0"/>
              <w:autoSpaceDE w:val="0"/>
              <w:autoSpaceDN w:val="0"/>
              <w:jc w:val="both"/>
            </w:pPr>
            <w:r w:rsidRPr="0097051E">
              <w:rPr>
                <w:color w:val="000000"/>
              </w:rPr>
              <w:t>f) Các trường hợp khác theo quy định của pháp luật và Điều lệ Tổng công ty.</w:t>
            </w:r>
          </w:p>
        </w:tc>
        <w:tc>
          <w:tcPr>
            <w:tcW w:w="2649" w:type="dxa"/>
            <w:vAlign w:val="center"/>
          </w:tcPr>
          <w:p w14:paraId="596FCD31" w14:textId="77777777" w:rsidR="00EC73E5" w:rsidRPr="0097051E" w:rsidRDefault="00EC73E5" w:rsidP="0097051E">
            <w:pPr>
              <w:tabs>
                <w:tab w:val="left" w:pos="1080"/>
              </w:tabs>
              <w:jc w:val="both"/>
              <w:rPr>
                <w:lang w:val="pt-BR"/>
              </w:rPr>
            </w:pPr>
          </w:p>
        </w:tc>
      </w:tr>
      <w:tr w:rsidR="000D102D" w:rsidRPr="005F27A5" w14:paraId="61550451" w14:textId="77777777" w:rsidTr="000D102D">
        <w:trPr>
          <w:trHeight w:val="558"/>
        </w:trPr>
        <w:tc>
          <w:tcPr>
            <w:tcW w:w="851" w:type="dxa"/>
            <w:vAlign w:val="center"/>
          </w:tcPr>
          <w:p w14:paraId="28DC107E" w14:textId="77777777" w:rsidR="000D102D" w:rsidRPr="0097051E" w:rsidRDefault="000D102D" w:rsidP="0097051E">
            <w:pPr>
              <w:numPr>
                <w:ilvl w:val="0"/>
                <w:numId w:val="26"/>
              </w:numPr>
              <w:jc w:val="center"/>
            </w:pPr>
          </w:p>
        </w:tc>
        <w:tc>
          <w:tcPr>
            <w:tcW w:w="1687" w:type="dxa"/>
            <w:vAlign w:val="center"/>
          </w:tcPr>
          <w:p w14:paraId="1D716866" w14:textId="77777777" w:rsidR="000D102D" w:rsidRPr="0097051E" w:rsidRDefault="000D102D" w:rsidP="0097051E">
            <w:pPr>
              <w:jc w:val="center"/>
            </w:pPr>
            <w:r w:rsidRPr="0097051E">
              <w:t>Khoản 1 Điều 8</w:t>
            </w:r>
          </w:p>
        </w:tc>
        <w:tc>
          <w:tcPr>
            <w:tcW w:w="4302" w:type="dxa"/>
            <w:vAlign w:val="center"/>
          </w:tcPr>
          <w:p w14:paraId="22BED47E" w14:textId="77777777" w:rsidR="000D102D" w:rsidRPr="0097051E" w:rsidRDefault="000D102D" w:rsidP="0097051E">
            <w:pPr>
              <w:jc w:val="both"/>
              <w:rPr>
                <w:color w:val="000000"/>
              </w:rPr>
            </w:pPr>
            <w:r w:rsidRPr="0097051E">
              <w:rPr>
                <w:b/>
                <w:bCs/>
                <w:color w:val="000000"/>
              </w:rPr>
              <w:t>Điều 8. Chủ tịch Hội đồng quản trị</w:t>
            </w:r>
          </w:p>
          <w:p w14:paraId="0DEAAB89" w14:textId="77777777" w:rsidR="000D102D" w:rsidRPr="0097051E" w:rsidRDefault="000D102D" w:rsidP="0097051E">
            <w:pPr>
              <w:jc w:val="both"/>
              <w:rPr>
                <w:color w:val="000000"/>
                <w:lang w:val="vi-VN"/>
              </w:rPr>
            </w:pPr>
            <w:r w:rsidRPr="0097051E">
              <w:rPr>
                <w:color w:val="000000"/>
              </w:rPr>
              <w:t>1. HĐQT bầu một thành viên của HĐQT làm Chủ tịch.</w:t>
            </w:r>
            <w:r w:rsidRPr="0097051E">
              <w:rPr>
                <w:color w:val="000000"/>
                <w:lang w:val="vi-VN"/>
              </w:rPr>
              <w:t xml:space="preserve"> Chủ tịch HĐQT không kiêm nhiệm chức vụ Tổng giám đốc </w:t>
            </w:r>
            <w:r w:rsidRPr="0097051E">
              <w:rPr>
                <w:strike/>
                <w:color w:val="000000"/>
                <w:lang w:val="vi-VN"/>
              </w:rPr>
              <w:t>điều hành</w:t>
            </w:r>
            <w:r w:rsidRPr="0097051E">
              <w:rPr>
                <w:color w:val="000000"/>
                <w:lang w:val="vi-VN"/>
              </w:rPr>
              <w:t xml:space="preserve"> của Tổng công ty.</w:t>
            </w:r>
          </w:p>
          <w:p w14:paraId="7EC35E5D" w14:textId="77777777" w:rsidR="000D102D" w:rsidRPr="005F27A5" w:rsidRDefault="000D102D" w:rsidP="0097051E">
            <w:pPr>
              <w:widowControl w:val="0"/>
              <w:autoSpaceDE w:val="0"/>
              <w:autoSpaceDN w:val="0"/>
              <w:jc w:val="center"/>
              <w:rPr>
                <w:lang w:val="vi-VN"/>
              </w:rPr>
            </w:pPr>
          </w:p>
        </w:tc>
        <w:tc>
          <w:tcPr>
            <w:tcW w:w="4828" w:type="dxa"/>
            <w:vAlign w:val="center"/>
          </w:tcPr>
          <w:p w14:paraId="28080D73" w14:textId="77777777" w:rsidR="000D102D" w:rsidRPr="005F27A5" w:rsidRDefault="000D102D" w:rsidP="0097051E">
            <w:pPr>
              <w:jc w:val="both"/>
              <w:rPr>
                <w:color w:val="000000"/>
                <w:lang w:val="vi-VN"/>
              </w:rPr>
            </w:pPr>
            <w:r w:rsidRPr="005F27A5">
              <w:rPr>
                <w:b/>
                <w:bCs/>
                <w:color w:val="000000"/>
                <w:lang w:val="vi-VN"/>
              </w:rPr>
              <w:t>Điều 9. Chủ tịch Hội đồng quản trị</w:t>
            </w:r>
          </w:p>
          <w:p w14:paraId="57F8AB66" w14:textId="77777777" w:rsidR="000D102D" w:rsidRPr="005F27A5" w:rsidRDefault="000D102D" w:rsidP="0097051E">
            <w:pPr>
              <w:jc w:val="both"/>
              <w:rPr>
                <w:color w:val="000000"/>
                <w:lang w:val="vi-VN"/>
              </w:rPr>
            </w:pPr>
            <w:r w:rsidRPr="005F27A5">
              <w:rPr>
                <w:color w:val="000000"/>
                <w:lang w:val="vi-VN"/>
              </w:rPr>
              <w:t>1. HĐQT bầu một thành viên của HĐQT làm Chủ tịch.</w:t>
            </w:r>
            <w:r w:rsidRPr="0097051E">
              <w:rPr>
                <w:color w:val="000000"/>
                <w:lang w:val="vi-VN"/>
              </w:rPr>
              <w:t xml:space="preserve"> Chủ tịch HĐQT không kiêm nhiệm chức vụ Tổng giám đốc của Tổng công ty.</w:t>
            </w:r>
          </w:p>
        </w:tc>
        <w:tc>
          <w:tcPr>
            <w:tcW w:w="2649" w:type="dxa"/>
            <w:vAlign w:val="center"/>
          </w:tcPr>
          <w:p w14:paraId="79D451DA" w14:textId="77777777" w:rsidR="000D102D" w:rsidRPr="0097051E" w:rsidRDefault="000D102D" w:rsidP="0097051E">
            <w:pPr>
              <w:tabs>
                <w:tab w:val="left" w:pos="1080"/>
              </w:tabs>
              <w:jc w:val="both"/>
              <w:rPr>
                <w:lang w:val="pt-BR"/>
              </w:rPr>
            </w:pPr>
            <w:r w:rsidRPr="0097051E">
              <w:rPr>
                <w:lang w:val="pt-BR"/>
              </w:rPr>
              <w:t>Bỏ cụm từ “điều hành” sau Tổng giám đốc</w:t>
            </w:r>
          </w:p>
        </w:tc>
      </w:tr>
      <w:tr w:rsidR="00584E2A" w:rsidRPr="0097051E" w14:paraId="081E608A" w14:textId="77777777" w:rsidTr="000D102D">
        <w:trPr>
          <w:trHeight w:val="2553"/>
        </w:trPr>
        <w:tc>
          <w:tcPr>
            <w:tcW w:w="851" w:type="dxa"/>
            <w:vAlign w:val="center"/>
          </w:tcPr>
          <w:p w14:paraId="15937577" w14:textId="77777777" w:rsidR="00384CE6" w:rsidRPr="005F27A5" w:rsidRDefault="00384CE6" w:rsidP="0097051E">
            <w:pPr>
              <w:numPr>
                <w:ilvl w:val="0"/>
                <w:numId w:val="26"/>
              </w:numPr>
              <w:jc w:val="center"/>
              <w:rPr>
                <w:lang w:val="vi-VN"/>
              </w:rPr>
            </w:pPr>
          </w:p>
        </w:tc>
        <w:tc>
          <w:tcPr>
            <w:tcW w:w="1687" w:type="dxa"/>
          </w:tcPr>
          <w:p w14:paraId="550E0822" w14:textId="77777777" w:rsidR="00384CE6" w:rsidRPr="0097051E" w:rsidRDefault="00CD7DEC" w:rsidP="0097051E">
            <w:pPr>
              <w:jc w:val="center"/>
            </w:pPr>
            <w:r w:rsidRPr="0097051E">
              <w:t xml:space="preserve">Khoản </w:t>
            </w:r>
            <w:r w:rsidR="000D102D" w:rsidRPr="0097051E">
              <w:t>16 Điều 13</w:t>
            </w:r>
          </w:p>
        </w:tc>
        <w:tc>
          <w:tcPr>
            <w:tcW w:w="4302" w:type="dxa"/>
            <w:vAlign w:val="center"/>
          </w:tcPr>
          <w:p w14:paraId="165AD925" w14:textId="77777777" w:rsidR="00384CE6" w:rsidRPr="0097051E" w:rsidRDefault="000D102D" w:rsidP="0097051E">
            <w:pPr>
              <w:jc w:val="both"/>
              <w:rPr>
                <w:color w:val="000000"/>
              </w:rPr>
            </w:pPr>
            <w:r w:rsidRPr="0097051E">
              <w:rPr>
                <w:color w:val="000000"/>
              </w:rPr>
              <w:t xml:space="preserve">16. Quyết định ban hành Quy chế hoạt động Hội đồng quản trị, Quy chế nội bộ về quản trị Tổng công ty sau khi được Đại hội đồng cổ đông thông qua; </w:t>
            </w:r>
            <w:r w:rsidRPr="0097051E">
              <w:rPr>
                <w:strike/>
                <w:color w:val="000000"/>
              </w:rPr>
              <w:t>quyết định ban hành Quy chế hoạt động của Ủy ban kiểm toán trực thuộc Hội đồng quản trị</w:t>
            </w:r>
            <w:r w:rsidRPr="0097051E">
              <w:rPr>
                <w:color w:val="000000"/>
              </w:rPr>
              <w:t>, Quy chế về công bố thông tin của Tổng công ty;</w:t>
            </w:r>
          </w:p>
        </w:tc>
        <w:tc>
          <w:tcPr>
            <w:tcW w:w="4828" w:type="dxa"/>
            <w:vAlign w:val="center"/>
          </w:tcPr>
          <w:p w14:paraId="36491D49" w14:textId="77777777" w:rsidR="000D102D" w:rsidRPr="0097051E" w:rsidRDefault="000D102D" w:rsidP="0097051E">
            <w:pPr>
              <w:jc w:val="both"/>
              <w:rPr>
                <w:color w:val="000000"/>
              </w:rPr>
            </w:pPr>
            <w:r w:rsidRPr="0097051E">
              <w:rPr>
                <w:color w:val="000000"/>
              </w:rPr>
              <w:t>16. Quyết định ban hành Quy chế hoạt động Hội đồng quản trị, Quy chế nội bộ về quản trị Tổng công ty sau khi được Đại hội đồng cổ đông thông qua; Quy chế về công bố thông tin của Tổng công ty;</w:t>
            </w:r>
          </w:p>
          <w:p w14:paraId="2DF53FE1" w14:textId="77777777" w:rsidR="00384CE6" w:rsidRPr="0097051E" w:rsidRDefault="00384CE6" w:rsidP="0097051E">
            <w:pPr>
              <w:tabs>
                <w:tab w:val="left" w:pos="1080"/>
              </w:tabs>
              <w:jc w:val="both"/>
            </w:pPr>
          </w:p>
        </w:tc>
        <w:tc>
          <w:tcPr>
            <w:tcW w:w="2649" w:type="dxa"/>
            <w:vAlign w:val="center"/>
          </w:tcPr>
          <w:p w14:paraId="34A063B8" w14:textId="77777777" w:rsidR="00384CE6" w:rsidRPr="0097051E" w:rsidRDefault="000D102D" w:rsidP="0097051E">
            <w:pPr>
              <w:tabs>
                <w:tab w:val="num" w:pos="897"/>
              </w:tabs>
              <w:jc w:val="both"/>
            </w:pPr>
            <w:r w:rsidRPr="0097051E">
              <w:t>Sửa đổi để phù hợp với mô hình quản trị có Ban kiểm soát</w:t>
            </w:r>
          </w:p>
        </w:tc>
      </w:tr>
      <w:tr w:rsidR="00C85720" w:rsidRPr="0097051E" w14:paraId="544CD574" w14:textId="77777777" w:rsidTr="0062446A">
        <w:trPr>
          <w:trHeight w:val="556"/>
        </w:trPr>
        <w:tc>
          <w:tcPr>
            <w:tcW w:w="851" w:type="dxa"/>
            <w:vAlign w:val="center"/>
          </w:tcPr>
          <w:p w14:paraId="106A47AE" w14:textId="77777777" w:rsidR="00A72CC6" w:rsidRPr="0097051E" w:rsidRDefault="00A72CC6" w:rsidP="0097051E">
            <w:pPr>
              <w:numPr>
                <w:ilvl w:val="0"/>
                <w:numId w:val="26"/>
              </w:numPr>
              <w:jc w:val="center"/>
            </w:pPr>
          </w:p>
        </w:tc>
        <w:tc>
          <w:tcPr>
            <w:tcW w:w="1687" w:type="dxa"/>
          </w:tcPr>
          <w:p w14:paraId="584CA4DE" w14:textId="77777777" w:rsidR="00A72CC6" w:rsidRPr="0097051E" w:rsidRDefault="000D102D" w:rsidP="0097051E">
            <w:pPr>
              <w:jc w:val="center"/>
            </w:pPr>
            <w:r w:rsidRPr="0097051E">
              <w:t>Điều 16</w:t>
            </w:r>
          </w:p>
        </w:tc>
        <w:tc>
          <w:tcPr>
            <w:tcW w:w="4302" w:type="dxa"/>
            <w:vAlign w:val="center"/>
          </w:tcPr>
          <w:p w14:paraId="0F5DBD81" w14:textId="77777777" w:rsidR="000D102D" w:rsidRPr="0097051E" w:rsidRDefault="000D102D" w:rsidP="0097051E">
            <w:pPr>
              <w:jc w:val="both"/>
              <w:rPr>
                <w:b/>
                <w:color w:val="000000"/>
              </w:rPr>
            </w:pPr>
            <w:r w:rsidRPr="0097051E">
              <w:rPr>
                <w:b/>
                <w:color w:val="000000"/>
              </w:rPr>
              <w:t>Điều 16. Nguyên tắc hoạt động của HĐQT</w:t>
            </w:r>
          </w:p>
          <w:p w14:paraId="1A3BC413" w14:textId="77777777" w:rsidR="000D102D" w:rsidRPr="0097051E" w:rsidRDefault="000D102D" w:rsidP="0097051E">
            <w:pPr>
              <w:jc w:val="both"/>
              <w:rPr>
                <w:color w:val="000000"/>
              </w:rPr>
            </w:pPr>
            <w:r w:rsidRPr="0097051E">
              <w:rPr>
                <w:color w:val="000000"/>
              </w:rPr>
              <w:t>1. Thành viên HĐQT tham gia công tác lãnh đạo, quản lý, giám sát hoạt động của PJICO theo sự phân công của Chủ tịch HĐQT.</w:t>
            </w:r>
            <w:r w:rsidRPr="0097051E">
              <w:rPr>
                <w:color w:val="000000"/>
              </w:rPr>
              <w:tab/>
            </w:r>
          </w:p>
          <w:p w14:paraId="01DDC7F3" w14:textId="77777777" w:rsidR="000D102D" w:rsidRPr="0097051E" w:rsidRDefault="000D102D" w:rsidP="0097051E">
            <w:pPr>
              <w:jc w:val="both"/>
              <w:rPr>
                <w:color w:val="000000"/>
              </w:rPr>
            </w:pPr>
            <w:r w:rsidRPr="0097051E">
              <w:rPr>
                <w:color w:val="000000"/>
              </w:rPr>
              <w:t xml:space="preserve">2. HĐQT thảo luận và biểu quyết để đưa ra quyết định về mọi vấn đề quản trị PJICO trong phạm vi quyền hạn, nhiệm vụ được quy định thông qua bằng các nghị quyết, quyết định của HĐQT. </w:t>
            </w:r>
          </w:p>
          <w:p w14:paraId="344C6DD9" w14:textId="77777777" w:rsidR="00A72CC6" w:rsidRPr="0097051E" w:rsidRDefault="000D102D" w:rsidP="0097051E">
            <w:pPr>
              <w:jc w:val="both"/>
              <w:rPr>
                <w:color w:val="000000"/>
              </w:rPr>
            </w:pPr>
            <w:r w:rsidRPr="0097051E">
              <w:rPr>
                <w:color w:val="000000"/>
              </w:rPr>
              <w:t xml:space="preserve">3. Nghị quyết, Quyết định của HĐQT được thông qua tại các phiên họp HĐQT </w:t>
            </w:r>
            <w:r w:rsidRPr="0097051E">
              <w:rPr>
                <w:color w:val="000000"/>
              </w:rPr>
              <w:lastRenderedPageBreak/>
              <w:t>hoặc xin ý kiến các thành viên HĐQT bằng văn bản, fax, thư điện tử theo quy định của Pháp luật và Điều lệ của PJICO.</w:t>
            </w:r>
          </w:p>
        </w:tc>
        <w:tc>
          <w:tcPr>
            <w:tcW w:w="4828" w:type="dxa"/>
            <w:vAlign w:val="center"/>
          </w:tcPr>
          <w:p w14:paraId="731EFCFE" w14:textId="77777777" w:rsidR="00A72CC6" w:rsidRPr="0097051E" w:rsidRDefault="000D102D" w:rsidP="0097051E">
            <w:pPr>
              <w:jc w:val="both"/>
              <w:rPr>
                <w:lang w:val="nl-NL" w:eastAsia="x-none"/>
              </w:rPr>
            </w:pPr>
            <w:r w:rsidRPr="0097051E">
              <w:rPr>
                <w:lang w:val="nl-NL" w:eastAsia="x-none"/>
              </w:rPr>
              <w:lastRenderedPageBreak/>
              <w:t>Bãi bỏ do đã chuyển nội dung lên Điều 3</w:t>
            </w:r>
          </w:p>
        </w:tc>
        <w:tc>
          <w:tcPr>
            <w:tcW w:w="2649" w:type="dxa"/>
            <w:vAlign w:val="center"/>
          </w:tcPr>
          <w:p w14:paraId="06DC80FB" w14:textId="77777777" w:rsidR="00A72CC6" w:rsidRPr="0097051E" w:rsidRDefault="00A72CC6" w:rsidP="0097051E">
            <w:pPr>
              <w:tabs>
                <w:tab w:val="num" w:pos="897"/>
              </w:tabs>
              <w:jc w:val="both"/>
            </w:pPr>
          </w:p>
        </w:tc>
      </w:tr>
      <w:tr w:rsidR="00584E2A" w:rsidRPr="0097051E" w14:paraId="5B6309C5" w14:textId="77777777" w:rsidTr="0062446A">
        <w:trPr>
          <w:trHeight w:val="556"/>
        </w:trPr>
        <w:tc>
          <w:tcPr>
            <w:tcW w:w="851" w:type="dxa"/>
            <w:vAlign w:val="center"/>
          </w:tcPr>
          <w:p w14:paraId="22A5ACCB" w14:textId="77777777" w:rsidR="00A72CC6" w:rsidRPr="0097051E" w:rsidRDefault="00A72CC6" w:rsidP="0097051E">
            <w:pPr>
              <w:numPr>
                <w:ilvl w:val="0"/>
                <w:numId w:val="26"/>
              </w:numPr>
              <w:jc w:val="center"/>
            </w:pPr>
          </w:p>
        </w:tc>
        <w:tc>
          <w:tcPr>
            <w:tcW w:w="1687" w:type="dxa"/>
          </w:tcPr>
          <w:p w14:paraId="48E29F91" w14:textId="77777777" w:rsidR="00A72CC6" w:rsidRPr="0097051E" w:rsidRDefault="000D102D" w:rsidP="0097051E">
            <w:pPr>
              <w:jc w:val="center"/>
            </w:pPr>
            <w:r w:rsidRPr="0097051E">
              <w:t>Khoản 4 Điều 19</w:t>
            </w:r>
          </w:p>
        </w:tc>
        <w:tc>
          <w:tcPr>
            <w:tcW w:w="4302" w:type="dxa"/>
            <w:vAlign w:val="center"/>
          </w:tcPr>
          <w:p w14:paraId="391063E1" w14:textId="77777777" w:rsidR="000D102D" w:rsidRPr="0097051E" w:rsidRDefault="000D102D" w:rsidP="0097051E">
            <w:pPr>
              <w:jc w:val="both"/>
              <w:rPr>
                <w:color w:val="000000"/>
              </w:rPr>
            </w:pPr>
            <w:r w:rsidRPr="0097051E">
              <w:rPr>
                <w:color w:val="000000"/>
              </w:rPr>
              <w:t xml:space="preserve">4. Trong trường hợp cần thiết, Chủ tịch HĐQT phải triệu tập họp bất thường, trong thời hạn 07 ngày làm việc, kể từ ngày nhận được một trong các đề nghị của TGĐ hoặc ít nhất 05 người quản lý khác; hoặc 02 thành viên HĐQT; thành viên độc lập HĐQT. Trường hợp Chủ tịch không triệu tập họp HĐQT theo đề nghị thì Chủ tịch phải chịu trách nhiệm về những thiệt hại xảy ra đối với </w:t>
            </w:r>
            <w:r w:rsidRPr="0097051E">
              <w:rPr>
                <w:color w:val="000000"/>
                <w:lang w:val="vi-VN"/>
              </w:rPr>
              <w:t>PJICO</w:t>
            </w:r>
            <w:r w:rsidRPr="0097051E">
              <w:rPr>
                <w:color w:val="000000"/>
              </w:rPr>
              <w:t>; trong trường hợp này, người đề nghị họp HĐQT có quyền triệu tập họp HĐQT, các thành viên HĐQT dự họp bỏ phiếu bầu chủ tọa cuộc họp.</w:t>
            </w:r>
          </w:p>
          <w:p w14:paraId="44D47F49" w14:textId="77777777" w:rsidR="00A72CC6" w:rsidRPr="0097051E" w:rsidRDefault="00A72CC6" w:rsidP="0097051E">
            <w:pPr>
              <w:tabs>
                <w:tab w:val="num" w:pos="897"/>
              </w:tabs>
              <w:jc w:val="both"/>
              <w:rPr>
                <w:color w:val="000000"/>
                <w:lang w:eastAsia="x-none"/>
              </w:rPr>
            </w:pPr>
          </w:p>
        </w:tc>
        <w:tc>
          <w:tcPr>
            <w:tcW w:w="4828" w:type="dxa"/>
            <w:vAlign w:val="center"/>
          </w:tcPr>
          <w:p w14:paraId="2723F77A" w14:textId="77777777" w:rsidR="000D102D" w:rsidRPr="0097051E" w:rsidRDefault="000D102D" w:rsidP="0097051E">
            <w:pPr>
              <w:jc w:val="both"/>
              <w:rPr>
                <w:color w:val="000000"/>
              </w:rPr>
            </w:pPr>
            <w:r w:rsidRPr="0097051E">
              <w:rPr>
                <w:color w:val="000000"/>
              </w:rPr>
              <w:t xml:space="preserve">4. Trong trường hợp cần thiết, Chủ tịch HĐQT phải triệu tập họp bất thường, trong thời hạn 07 ngày làm việc, kể từ ngày nhận được một trong các đề nghị của TGĐ hoặc ít nhất 05 người quản lý khác; hoặc 02 thành viên HĐQT; </w:t>
            </w:r>
            <w:r w:rsidRPr="0097051E">
              <w:rPr>
                <w:color w:val="000000"/>
                <w:u w:val="single"/>
              </w:rPr>
              <w:t>của Ban kiểm soát</w:t>
            </w:r>
            <w:r w:rsidRPr="0097051E">
              <w:rPr>
                <w:color w:val="000000"/>
              </w:rPr>
              <w:t xml:space="preserve"> hoặc thành viên độc lập HĐQT. Trường hợp Chủ tịch không triệu tập họp HĐQT theo đề nghị thì Chủ tịch phải chịu trách nhiệm về những thiệt hại xảy ra đối với </w:t>
            </w:r>
            <w:r w:rsidRPr="0097051E">
              <w:rPr>
                <w:color w:val="000000"/>
                <w:lang w:val="vi-VN"/>
              </w:rPr>
              <w:t>PJICO</w:t>
            </w:r>
            <w:r w:rsidRPr="0097051E">
              <w:rPr>
                <w:color w:val="000000"/>
              </w:rPr>
              <w:t>; trong trường hợp này, người đề nghị họp HĐQT có quyền triệu tập họp HĐQT, các thành viên HĐQT dự họp bỏ phiếu bầu chủ tọa cuộc họp.</w:t>
            </w:r>
          </w:p>
          <w:p w14:paraId="29D9C2A3" w14:textId="77777777" w:rsidR="00A72CC6" w:rsidRPr="0097051E" w:rsidRDefault="00A72CC6" w:rsidP="0097051E">
            <w:pPr>
              <w:jc w:val="both"/>
            </w:pPr>
          </w:p>
        </w:tc>
        <w:tc>
          <w:tcPr>
            <w:tcW w:w="2649" w:type="dxa"/>
            <w:vAlign w:val="center"/>
          </w:tcPr>
          <w:p w14:paraId="220CAD5A" w14:textId="77777777" w:rsidR="00A72CC6" w:rsidRPr="0097051E" w:rsidRDefault="000D102D" w:rsidP="0097051E">
            <w:pPr>
              <w:tabs>
                <w:tab w:val="num" w:pos="897"/>
              </w:tabs>
              <w:jc w:val="both"/>
            </w:pPr>
            <w:r w:rsidRPr="0097051E">
              <w:t>Bổ sung để phù hợp với mô hình quản trị có Ban kiểm soát</w:t>
            </w:r>
          </w:p>
        </w:tc>
      </w:tr>
      <w:tr w:rsidR="00584E2A" w:rsidRPr="005F27A5" w14:paraId="146BF77A" w14:textId="77777777" w:rsidTr="0062446A">
        <w:trPr>
          <w:trHeight w:val="1978"/>
        </w:trPr>
        <w:tc>
          <w:tcPr>
            <w:tcW w:w="851" w:type="dxa"/>
            <w:vAlign w:val="center"/>
          </w:tcPr>
          <w:p w14:paraId="017AADA0" w14:textId="77777777" w:rsidR="00D62CE0" w:rsidRPr="0097051E" w:rsidRDefault="00D62CE0" w:rsidP="0097051E">
            <w:pPr>
              <w:numPr>
                <w:ilvl w:val="0"/>
                <w:numId w:val="26"/>
              </w:numPr>
              <w:jc w:val="center"/>
            </w:pPr>
          </w:p>
        </w:tc>
        <w:tc>
          <w:tcPr>
            <w:tcW w:w="1687" w:type="dxa"/>
          </w:tcPr>
          <w:p w14:paraId="5A638B8B" w14:textId="77777777" w:rsidR="00D62CE0" w:rsidRPr="0097051E" w:rsidRDefault="0097051E" w:rsidP="0097051E">
            <w:pPr>
              <w:jc w:val="center"/>
            </w:pPr>
            <w:r w:rsidRPr="0097051E">
              <w:t>Điều 31</w:t>
            </w:r>
          </w:p>
        </w:tc>
        <w:tc>
          <w:tcPr>
            <w:tcW w:w="4302" w:type="dxa"/>
            <w:vAlign w:val="center"/>
          </w:tcPr>
          <w:p w14:paraId="37ED4B15" w14:textId="77777777" w:rsidR="0097051E" w:rsidRPr="0097051E" w:rsidRDefault="0097051E" w:rsidP="0097051E">
            <w:pPr>
              <w:jc w:val="both"/>
              <w:rPr>
                <w:color w:val="000000"/>
              </w:rPr>
            </w:pPr>
            <w:r w:rsidRPr="0097051E">
              <w:rPr>
                <w:b/>
                <w:bCs/>
                <w:color w:val="000000"/>
              </w:rPr>
              <w:t>Điều 31. Mối quan hệ với Ủy ban kiểm toán</w:t>
            </w:r>
          </w:p>
          <w:p w14:paraId="2566460A" w14:textId="77777777" w:rsidR="0097051E" w:rsidRPr="0097051E" w:rsidRDefault="0097051E" w:rsidP="0097051E">
            <w:pPr>
              <w:jc w:val="both"/>
              <w:rPr>
                <w:color w:val="000000"/>
              </w:rPr>
            </w:pPr>
            <w:r w:rsidRPr="0097051E">
              <w:rPr>
                <w:color w:val="000000"/>
              </w:rPr>
              <w:t>1. Mối quan hệ giữa HĐQT và Ủy ban kiểm toán là quan hệ phối hợp. Quan hệ làm việc giữa HĐQT với Ủy ban kiểm toán theo nguyên tắc bình đẳng và độc lập, đồng thời phối hợp chặt chẽ, hỗ trợ lẫn nhau trong quá trình thực thi nhiệm vụ.</w:t>
            </w:r>
          </w:p>
          <w:p w14:paraId="5F99A634" w14:textId="77777777" w:rsidR="0097051E" w:rsidRPr="0097051E" w:rsidRDefault="0097051E" w:rsidP="0097051E">
            <w:pPr>
              <w:jc w:val="both"/>
              <w:rPr>
                <w:color w:val="000000"/>
              </w:rPr>
            </w:pPr>
            <w:r w:rsidRPr="0097051E">
              <w:rPr>
                <w:color w:val="000000"/>
              </w:rPr>
              <w:t>2. Khi tiếp nhận các biên bản kiểm tra hoặc báo cáo tổng hợp của Ủy ban kiểm toán, HĐQT có trách nhiệm nghiên cứu và chỉ đạo các bộ phận có liên quan xây dựng kế hoạch và thực hiện chấn chỉnh kịp thời.</w:t>
            </w:r>
          </w:p>
          <w:p w14:paraId="2489F80D" w14:textId="77777777" w:rsidR="00D62CE0" w:rsidRPr="0097051E" w:rsidRDefault="00D62CE0" w:rsidP="0097051E">
            <w:pPr>
              <w:tabs>
                <w:tab w:val="num" w:pos="897"/>
              </w:tabs>
              <w:jc w:val="both"/>
              <w:rPr>
                <w:color w:val="000000"/>
                <w:lang w:eastAsia="x-none"/>
              </w:rPr>
            </w:pPr>
          </w:p>
        </w:tc>
        <w:tc>
          <w:tcPr>
            <w:tcW w:w="4828" w:type="dxa"/>
            <w:vAlign w:val="center"/>
          </w:tcPr>
          <w:p w14:paraId="5BFDD86C" w14:textId="77777777" w:rsidR="0097051E" w:rsidRPr="0097051E" w:rsidRDefault="0097051E" w:rsidP="0097051E">
            <w:pPr>
              <w:jc w:val="both"/>
              <w:rPr>
                <w:color w:val="000000"/>
              </w:rPr>
            </w:pPr>
            <w:r w:rsidRPr="0097051E">
              <w:rPr>
                <w:b/>
                <w:bCs/>
                <w:color w:val="000000"/>
              </w:rPr>
              <w:t>Điều 31. Mối quan hệ với Ban kiểm soát</w:t>
            </w:r>
          </w:p>
          <w:p w14:paraId="34648EF0" w14:textId="77777777" w:rsidR="0097051E" w:rsidRPr="0097051E" w:rsidRDefault="0097051E" w:rsidP="0097051E">
            <w:pPr>
              <w:jc w:val="both"/>
              <w:rPr>
                <w:color w:val="000000"/>
              </w:rPr>
            </w:pPr>
            <w:r w:rsidRPr="0097051E">
              <w:rPr>
                <w:color w:val="000000"/>
              </w:rPr>
              <w:t>1. Mối quan hệ giữa HĐQT và Ban kiểm soát là quan hệ phối hợp. Quan hệ làm việc giữa HĐQT với Ban kiểm soát theo nguyên tắc bình đẳng và độc lập, đồng thời phối hợp chặt chẽ, hỗ trợ lẫn nhau trong quá trình thực thi nhiệm vụ.</w:t>
            </w:r>
          </w:p>
          <w:p w14:paraId="10CC4FA7" w14:textId="77777777" w:rsidR="0097051E" w:rsidRPr="0097051E" w:rsidRDefault="0097051E" w:rsidP="0097051E">
            <w:pPr>
              <w:jc w:val="both"/>
              <w:rPr>
                <w:color w:val="000000"/>
              </w:rPr>
            </w:pPr>
            <w:r w:rsidRPr="0097051E">
              <w:rPr>
                <w:color w:val="000000"/>
              </w:rPr>
              <w:t>2. Khi tiếp nhận các biên bản kiểm tra hoặc báo cáo tổng hợp của Ban kiểm soát, HĐQT có trách nhiệm nghiên cứu và chỉ đạo các bộ phận có liên quan xây dựng kế hoạch và thực hiện chấn chỉnh kịp thời.</w:t>
            </w:r>
          </w:p>
          <w:p w14:paraId="09187191" w14:textId="77777777" w:rsidR="00D62CE0" w:rsidRPr="0097051E" w:rsidRDefault="00D62CE0" w:rsidP="0097051E">
            <w:pPr>
              <w:jc w:val="both"/>
              <w:rPr>
                <w:color w:val="000000"/>
                <w:lang w:val="nl-NL"/>
              </w:rPr>
            </w:pPr>
          </w:p>
        </w:tc>
        <w:tc>
          <w:tcPr>
            <w:tcW w:w="2649" w:type="dxa"/>
            <w:vAlign w:val="center"/>
          </w:tcPr>
          <w:p w14:paraId="09C98E7D" w14:textId="77777777" w:rsidR="00D62CE0" w:rsidRPr="005F27A5" w:rsidRDefault="0097051E" w:rsidP="0097051E">
            <w:pPr>
              <w:tabs>
                <w:tab w:val="num" w:pos="897"/>
              </w:tabs>
              <w:jc w:val="both"/>
              <w:rPr>
                <w:lang w:val="nl-NL"/>
              </w:rPr>
            </w:pPr>
            <w:r w:rsidRPr="005F27A5">
              <w:rPr>
                <w:lang w:val="nl-NL"/>
              </w:rPr>
              <w:t>Điều chỉnh để phù hợp với mô hình quản trị có Ban kiểm soát</w:t>
            </w:r>
          </w:p>
        </w:tc>
      </w:tr>
      <w:tr w:rsidR="0097051E" w:rsidRPr="0097051E" w14:paraId="1262B07E" w14:textId="77777777" w:rsidTr="0062446A">
        <w:trPr>
          <w:trHeight w:val="1978"/>
        </w:trPr>
        <w:tc>
          <w:tcPr>
            <w:tcW w:w="851" w:type="dxa"/>
            <w:vAlign w:val="center"/>
          </w:tcPr>
          <w:p w14:paraId="0D01C14A" w14:textId="77777777" w:rsidR="0097051E" w:rsidRPr="005F27A5" w:rsidRDefault="0097051E" w:rsidP="0097051E">
            <w:pPr>
              <w:numPr>
                <w:ilvl w:val="0"/>
                <w:numId w:val="26"/>
              </w:numPr>
              <w:jc w:val="center"/>
              <w:rPr>
                <w:lang w:val="nl-NL"/>
              </w:rPr>
            </w:pPr>
          </w:p>
        </w:tc>
        <w:tc>
          <w:tcPr>
            <w:tcW w:w="1687" w:type="dxa"/>
          </w:tcPr>
          <w:p w14:paraId="1760EFAE" w14:textId="77777777" w:rsidR="0097051E" w:rsidRPr="0097051E" w:rsidRDefault="0097051E" w:rsidP="0097051E">
            <w:pPr>
              <w:jc w:val="center"/>
            </w:pPr>
            <w:r w:rsidRPr="0097051E">
              <w:t>Điều 36</w:t>
            </w:r>
          </w:p>
        </w:tc>
        <w:tc>
          <w:tcPr>
            <w:tcW w:w="4302" w:type="dxa"/>
            <w:vAlign w:val="center"/>
          </w:tcPr>
          <w:p w14:paraId="7CD797BC" w14:textId="77777777" w:rsidR="0097051E" w:rsidRPr="0097051E" w:rsidRDefault="0097051E" w:rsidP="0097051E">
            <w:pPr>
              <w:jc w:val="both"/>
              <w:rPr>
                <w:b/>
                <w:color w:val="000000"/>
              </w:rPr>
            </w:pPr>
            <w:r w:rsidRPr="0097051E">
              <w:rPr>
                <w:b/>
                <w:color w:val="000000"/>
              </w:rPr>
              <w:t>Điều 36. Phương thức đánh giá</w:t>
            </w:r>
          </w:p>
          <w:p w14:paraId="75E509F8" w14:textId="77777777" w:rsidR="0097051E" w:rsidRPr="0097051E" w:rsidRDefault="0097051E" w:rsidP="0097051E">
            <w:pPr>
              <w:jc w:val="both"/>
              <w:rPr>
                <w:color w:val="000000"/>
              </w:rPr>
            </w:pPr>
            <w:r w:rsidRPr="0097051E">
              <w:rPr>
                <w:color w:val="000000"/>
              </w:rPr>
              <w:t>Tùy thuộc vào quy định của HĐQT, công tác đánh giá hoạt động của thành viên HĐQT, TGĐ,</w:t>
            </w:r>
            <w:r w:rsidRPr="0097051E">
              <w:rPr>
                <w:color w:val="000000"/>
                <w:lang w:val="vi-VN"/>
              </w:rPr>
              <w:t xml:space="preserve"> Phó TGĐ</w:t>
            </w:r>
            <w:r w:rsidRPr="0097051E">
              <w:rPr>
                <w:color w:val="000000"/>
              </w:rPr>
              <w:t xml:space="preserve">, </w:t>
            </w:r>
            <w:r w:rsidRPr="0097051E">
              <w:rPr>
                <w:color w:val="000000"/>
                <w:u w:val="single"/>
              </w:rPr>
              <w:t>cán bộ</w:t>
            </w:r>
            <w:r w:rsidRPr="0097051E">
              <w:rPr>
                <w:color w:val="000000"/>
              </w:rPr>
              <w:t xml:space="preserve"> quản lý của PJICO có thể được tiến hành một hoặc một số phương thức sau:</w:t>
            </w:r>
          </w:p>
          <w:p w14:paraId="6EBC66E7" w14:textId="77777777" w:rsidR="0097051E" w:rsidRPr="0097051E" w:rsidRDefault="0097051E" w:rsidP="0097051E">
            <w:pPr>
              <w:jc w:val="both"/>
              <w:rPr>
                <w:b/>
                <w:bCs/>
                <w:color w:val="000000"/>
              </w:rPr>
            </w:pPr>
          </w:p>
        </w:tc>
        <w:tc>
          <w:tcPr>
            <w:tcW w:w="4828" w:type="dxa"/>
            <w:vAlign w:val="center"/>
          </w:tcPr>
          <w:p w14:paraId="4CC496D7" w14:textId="77777777" w:rsidR="0097051E" w:rsidRPr="0097051E" w:rsidRDefault="0097051E" w:rsidP="0097051E">
            <w:pPr>
              <w:jc w:val="both"/>
              <w:rPr>
                <w:b/>
                <w:color w:val="000000"/>
              </w:rPr>
            </w:pPr>
            <w:r w:rsidRPr="0097051E">
              <w:rPr>
                <w:b/>
                <w:color w:val="000000"/>
              </w:rPr>
              <w:t>Điều 36. Phương thức đánh giá</w:t>
            </w:r>
          </w:p>
          <w:p w14:paraId="2CDB97BD" w14:textId="77777777" w:rsidR="0097051E" w:rsidRPr="0097051E" w:rsidRDefault="0097051E" w:rsidP="0097051E">
            <w:pPr>
              <w:jc w:val="both"/>
              <w:rPr>
                <w:color w:val="000000"/>
              </w:rPr>
            </w:pPr>
            <w:r w:rsidRPr="0097051E">
              <w:rPr>
                <w:color w:val="000000"/>
              </w:rPr>
              <w:t>Tùy thuộc vào quy định của HĐQT, công tác đánh giá hoạt động của thành viên HĐQT, TGĐ,</w:t>
            </w:r>
            <w:r w:rsidRPr="0097051E">
              <w:rPr>
                <w:color w:val="000000"/>
                <w:lang w:val="vi-VN"/>
              </w:rPr>
              <w:t xml:space="preserve"> Phó TGĐ</w:t>
            </w:r>
            <w:r w:rsidRPr="0097051E">
              <w:rPr>
                <w:color w:val="000000"/>
              </w:rPr>
              <w:t>, người quản lý của PJICO có thể được tiến hành một hoặc một số phương thức sau:</w:t>
            </w:r>
          </w:p>
          <w:p w14:paraId="7F58FB22" w14:textId="77777777" w:rsidR="0097051E" w:rsidRPr="0097051E" w:rsidRDefault="0097051E" w:rsidP="0097051E">
            <w:pPr>
              <w:jc w:val="both"/>
              <w:rPr>
                <w:b/>
                <w:bCs/>
                <w:color w:val="000000"/>
              </w:rPr>
            </w:pPr>
          </w:p>
        </w:tc>
        <w:tc>
          <w:tcPr>
            <w:tcW w:w="2649" w:type="dxa"/>
            <w:vAlign w:val="center"/>
          </w:tcPr>
          <w:p w14:paraId="13A74083" w14:textId="77777777" w:rsidR="0097051E" w:rsidRPr="0097051E" w:rsidRDefault="0097051E" w:rsidP="0097051E">
            <w:pPr>
              <w:tabs>
                <w:tab w:val="num" w:pos="897"/>
              </w:tabs>
              <w:jc w:val="both"/>
            </w:pPr>
            <w:r w:rsidRPr="0097051E">
              <w:t xml:space="preserve">Hiệu chỉnh để thống nhất với Điều lệ </w:t>
            </w:r>
          </w:p>
        </w:tc>
      </w:tr>
    </w:tbl>
    <w:p w14:paraId="6F198F83" w14:textId="77777777" w:rsidR="00891DB1" w:rsidRPr="0097051E" w:rsidRDefault="00891DB1" w:rsidP="0097051E">
      <w:pPr>
        <w:tabs>
          <w:tab w:val="left" w:pos="5895"/>
        </w:tabs>
        <w:jc w:val="both"/>
      </w:pPr>
    </w:p>
    <w:sectPr w:rsidR="00891DB1" w:rsidRPr="0097051E" w:rsidSect="008B526A">
      <w:footerReference w:type="default" r:id="rId8"/>
      <w:pgSz w:w="16840" w:h="11907" w:orient="landscape" w:code="9"/>
      <w:pgMar w:top="630" w:right="1134" w:bottom="630" w:left="1474" w:header="720" w:footer="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3D1E" w14:textId="77777777" w:rsidR="00A21113" w:rsidRDefault="00A21113" w:rsidP="00EE30EA">
      <w:r>
        <w:separator/>
      </w:r>
    </w:p>
  </w:endnote>
  <w:endnote w:type="continuationSeparator" w:id="0">
    <w:p w14:paraId="3E2C3839" w14:textId="77777777" w:rsidR="00A21113" w:rsidRDefault="00A21113" w:rsidP="00E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39BB" w14:textId="77777777" w:rsidR="007F6600" w:rsidRDefault="007F6600">
    <w:pPr>
      <w:pStyle w:val="Footer"/>
      <w:jc w:val="right"/>
    </w:pPr>
    <w:r>
      <w:fldChar w:fldCharType="begin"/>
    </w:r>
    <w:r>
      <w:instrText xml:space="preserve"> PAGE   \* MERGEFORMAT </w:instrText>
    </w:r>
    <w:r>
      <w:fldChar w:fldCharType="separate"/>
    </w:r>
    <w:r w:rsidR="007A7727">
      <w:rPr>
        <w:noProof/>
      </w:rPr>
      <w:t>3</w:t>
    </w:r>
    <w:r>
      <w:rPr>
        <w:noProof/>
      </w:rPr>
      <w:fldChar w:fldCharType="end"/>
    </w:r>
  </w:p>
  <w:p w14:paraId="57A9669E" w14:textId="77777777" w:rsidR="007F6600" w:rsidRDefault="007F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69DD" w14:textId="77777777" w:rsidR="00A21113" w:rsidRDefault="00A21113" w:rsidP="00EE30EA">
      <w:r>
        <w:separator/>
      </w:r>
    </w:p>
  </w:footnote>
  <w:footnote w:type="continuationSeparator" w:id="0">
    <w:p w14:paraId="7BFD5C35" w14:textId="77777777" w:rsidR="00A21113" w:rsidRDefault="00A21113" w:rsidP="00EE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37"/>
    <w:multiLevelType w:val="hybridMultilevel"/>
    <w:tmpl w:val="5FE2DBC6"/>
    <w:lvl w:ilvl="0" w:tplc="8154D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43774"/>
    <w:multiLevelType w:val="multilevel"/>
    <w:tmpl w:val="B560CBB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7339B"/>
    <w:multiLevelType w:val="hybridMultilevel"/>
    <w:tmpl w:val="DC900186"/>
    <w:lvl w:ilvl="0" w:tplc="44C0DB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41E2A"/>
    <w:multiLevelType w:val="hybridMultilevel"/>
    <w:tmpl w:val="F63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FB2"/>
    <w:multiLevelType w:val="hybridMultilevel"/>
    <w:tmpl w:val="4FACE33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860D5F"/>
    <w:multiLevelType w:val="hybridMultilevel"/>
    <w:tmpl w:val="373C5F40"/>
    <w:lvl w:ilvl="0" w:tplc="878EE8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5D7C61"/>
    <w:multiLevelType w:val="hybridMultilevel"/>
    <w:tmpl w:val="C660FE98"/>
    <w:lvl w:ilvl="0" w:tplc="A3186486">
      <w:start w:val="1"/>
      <w:numFmt w:val="decimal"/>
      <w:lvlText w:val="%1."/>
      <w:lvlJc w:val="left"/>
      <w:pPr>
        <w:tabs>
          <w:tab w:val="num" w:pos="1077"/>
        </w:tabs>
        <w:ind w:left="0" w:firstLine="737"/>
      </w:pPr>
      <w:rPr>
        <w:rFonts w:hint="default"/>
      </w:rPr>
    </w:lvl>
    <w:lvl w:ilvl="1" w:tplc="CB2CD7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A4656C"/>
    <w:multiLevelType w:val="hybridMultilevel"/>
    <w:tmpl w:val="26F03A2C"/>
    <w:lvl w:ilvl="0" w:tplc="96884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E26A2"/>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07989"/>
    <w:multiLevelType w:val="hybridMultilevel"/>
    <w:tmpl w:val="C05C0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31416"/>
    <w:multiLevelType w:val="multilevel"/>
    <w:tmpl w:val="AC1A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3BA7"/>
    <w:multiLevelType w:val="hybridMultilevel"/>
    <w:tmpl w:val="356A94D6"/>
    <w:lvl w:ilvl="0" w:tplc="F886C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B51B5"/>
    <w:multiLevelType w:val="hybridMultilevel"/>
    <w:tmpl w:val="8224FDCE"/>
    <w:lvl w:ilvl="0" w:tplc="C870290C">
      <w:start w:val="1"/>
      <w:numFmt w:val="bullet"/>
      <w:lvlText w:val=""/>
      <w:lvlJc w:val="right"/>
      <w:pPr>
        <w:ind w:left="720" w:hanging="360"/>
      </w:pPr>
      <w:rPr>
        <w:rFonts w:ascii="Symbol" w:hAnsi="Symbol" w:hint="default"/>
        <w:b w:val="0"/>
        <w:i/>
      </w:rPr>
    </w:lvl>
    <w:lvl w:ilvl="1" w:tplc="04090003">
      <w:start w:val="1"/>
      <w:numFmt w:val="bullet"/>
      <w:lvlText w:val="o"/>
      <w:lvlJc w:val="left"/>
      <w:pPr>
        <w:ind w:left="1440" w:hanging="360"/>
      </w:pPr>
      <w:rPr>
        <w:rFonts w:ascii="Courier New" w:hAnsi="Courier New" w:cs="Courier New" w:hint="default"/>
      </w:rPr>
    </w:lvl>
    <w:lvl w:ilvl="2" w:tplc="89E48504">
      <w:start w:val="1"/>
      <w:numFmt w:val="bullet"/>
      <w:lvlText w:val="o"/>
      <w:lvlJc w:val="left"/>
      <w:pPr>
        <w:ind w:left="2070" w:hanging="360"/>
      </w:pPr>
      <w:rPr>
        <w:rFonts w:ascii="Courier New" w:hAnsi="Courier Ne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10265"/>
    <w:multiLevelType w:val="hybridMultilevel"/>
    <w:tmpl w:val="343AD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107C89"/>
    <w:multiLevelType w:val="hybridMultilevel"/>
    <w:tmpl w:val="597EA9EE"/>
    <w:lvl w:ilvl="0" w:tplc="B6BCE3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63275"/>
    <w:multiLevelType w:val="hybridMultilevel"/>
    <w:tmpl w:val="54BC2EC8"/>
    <w:lvl w:ilvl="0" w:tplc="F8B28634">
      <w:start w:val="1"/>
      <w:numFmt w:val="decimal"/>
      <w:lvlText w:val="%1."/>
      <w:lvlJc w:val="left"/>
      <w:pPr>
        <w:tabs>
          <w:tab w:val="num" w:pos="1077"/>
        </w:tabs>
        <w:ind w:left="0" w:firstLine="73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26B1A"/>
    <w:multiLevelType w:val="multilevel"/>
    <w:tmpl w:val="1F66D12E"/>
    <w:lvl w:ilvl="0">
      <w:start w:val="10"/>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5BA56F7"/>
    <w:multiLevelType w:val="singleLevel"/>
    <w:tmpl w:val="22EE7210"/>
    <w:lvl w:ilvl="0">
      <w:start w:val="1"/>
      <w:numFmt w:val="decimal"/>
      <w:lvlText w:val="%1."/>
      <w:lvlJc w:val="left"/>
      <w:pPr>
        <w:tabs>
          <w:tab w:val="num" w:pos="840"/>
        </w:tabs>
        <w:ind w:left="840" w:hanging="360"/>
      </w:pPr>
      <w:rPr>
        <w:rFonts w:hint="default"/>
      </w:rPr>
    </w:lvl>
  </w:abstractNum>
  <w:abstractNum w:abstractNumId="20" w15:restartNumberingAfterBreak="0">
    <w:nsid w:val="699547C0"/>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76F27"/>
    <w:multiLevelType w:val="hybridMultilevel"/>
    <w:tmpl w:val="88C45B52"/>
    <w:lvl w:ilvl="0" w:tplc="D7AC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065B56"/>
    <w:multiLevelType w:val="hybridMultilevel"/>
    <w:tmpl w:val="86B0B732"/>
    <w:lvl w:ilvl="0" w:tplc="A3E4E48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C48D6"/>
    <w:multiLevelType w:val="hybridMultilevel"/>
    <w:tmpl w:val="EECCAD80"/>
    <w:lvl w:ilvl="0" w:tplc="9AE0F9AC">
      <w:start w:val="1"/>
      <w:numFmt w:val="decimal"/>
      <w:lvlText w:val="%1."/>
      <w:lvlJc w:val="left"/>
      <w:pPr>
        <w:tabs>
          <w:tab w:val="num" w:pos="1240"/>
        </w:tabs>
        <w:ind w:left="163"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D27AE1"/>
    <w:multiLevelType w:val="hybridMultilevel"/>
    <w:tmpl w:val="12B62D2E"/>
    <w:lvl w:ilvl="0" w:tplc="EE1A0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941DB"/>
    <w:multiLevelType w:val="hybridMultilevel"/>
    <w:tmpl w:val="C7FCAB0A"/>
    <w:lvl w:ilvl="0" w:tplc="FC24B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4371798">
    <w:abstractNumId w:val="19"/>
  </w:num>
  <w:num w:numId="2" w16cid:durableId="402410507">
    <w:abstractNumId w:val="24"/>
  </w:num>
  <w:num w:numId="3" w16cid:durableId="208305730">
    <w:abstractNumId w:val="8"/>
  </w:num>
  <w:num w:numId="4" w16cid:durableId="1989817487">
    <w:abstractNumId w:val="21"/>
  </w:num>
  <w:num w:numId="5" w16cid:durableId="148832364">
    <w:abstractNumId w:val="16"/>
  </w:num>
  <w:num w:numId="6" w16cid:durableId="1445923692">
    <w:abstractNumId w:val="25"/>
  </w:num>
  <w:num w:numId="7" w16cid:durableId="1688435336">
    <w:abstractNumId w:val="5"/>
  </w:num>
  <w:num w:numId="8" w16cid:durableId="267276711">
    <w:abstractNumId w:val="1"/>
  </w:num>
  <w:num w:numId="9" w16cid:durableId="697312173">
    <w:abstractNumId w:val="18"/>
  </w:num>
  <w:num w:numId="10" w16cid:durableId="1704595146">
    <w:abstractNumId w:val="2"/>
  </w:num>
  <w:num w:numId="11" w16cid:durableId="2129158185">
    <w:abstractNumId w:val="15"/>
  </w:num>
  <w:num w:numId="12" w16cid:durableId="1119764543">
    <w:abstractNumId w:val="3"/>
  </w:num>
  <w:num w:numId="13" w16cid:durableId="52775365">
    <w:abstractNumId w:val="20"/>
  </w:num>
  <w:num w:numId="14" w16cid:durableId="1640502010">
    <w:abstractNumId w:val="9"/>
  </w:num>
  <w:num w:numId="15" w16cid:durableId="912470501">
    <w:abstractNumId w:val="11"/>
  </w:num>
  <w:num w:numId="16" w16cid:durableId="1354453829">
    <w:abstractNumId w:val="23"/>
  </w:num>
  <w:num w:numId="17" w16cid:durableId="1087731444">
    <w:abstractNumId w:val="17"/>
  </w:num>
  <w:num w:numId="18" w16cid:durableId="1037973193">
    <w:abstractNumId w:val="4"/>
  </w:num>
  <w:num w:numId="19" w16cid:durableId="163470424">
    <w:abstractNumId w:val="14"/>
  </w:num>
  <w:num w:numId="20" w16cid:durableId="1781682432">
    <w:abstractNumId w:val="26"/>
  </w:num>
  <w:num w:numId="21" w16cid:durableId="973826910">
    <w:abstractNumId w:val="6"/>
  </w:num>
  <w:num w:numId="22" w16cid:durableId="1144086399">
    <w:abstractNumId w:val="22"/>
  </w:num>
  <w:num w:numId="23" w16cid:durableId="1246650468">
    <w:abstractNumId w:val="10"/>
  </w:num>
  <w:num w:numId="24" w16cid:durableId="750155215">
    <w:abstractNumId w:val="13"/>
  </w:num>
  <w:num w:numId="25" w16cid:durableId="1758092006">
    <w:abstractNumId w:val="7"/>
  </w:num>
  <w:num w:numId="26" w16cid:durableId="26568808">
    <w:abstractNumId w:val="12"/>
  </w:num>
  <w:num w:numId="27" w16cid:durableId="63970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A4"/>
    <w:rsid w:val="00002921"/>
    <w:rsid w:val="00003A0E"/>
    <w:rsid w:val="00007C28"/>
    <w:rsid w:val="0001463E"/>
    <w:rsid w:val="00014AF7"/>
    <w:rsid w:val="00022725"/>
    <w:rsid w:val="00023584"/>
    <w:rsid w:val="00034366"/>
    <w:rsid w:val="000412B7"/>
    <w:rsid w:val="00041476"/>
    <w:rsid w:val="00041964"/>
    <w:rsid w:val="00042A5B"/>
    <w:rsid w:val="000472BF"/>
    <w:rsid w:val="000529BF"/>
    <w:rsid w:val="0005527E"/>
    <w:rsid w:val="00055FC3"/>
    <w:rsid w:val="00060E56"/>
    <w:rsid w:val="00081B74"/>
    <w:rsid w:val="00082F39"/>
    <w:rsid w:val="00086A83"/>
    <w:rsid w:val="000907E4"/>
    <w:rsid w:val="00092FA9"/>
    <w:rsid w:val="00095191"/>
    <w:rsid w:val="000C1ADE"/>
    <w:rsid w:val="000D102D"/>
    <w:rsid w:val="000D3125"/>
    <w:rsid w:val="000E047D"/>
    <w:rsid w:val="000E2470"/>
    <w:rsid w:val="000E6CF7"/>
    <w:rsid w:val="000F0CB5"/>
    <w:rsid w:val="000F746A"/>
    <w:rsid w:val="00105E61"/>
    <w:rsid w:val="00111FDF"/>
    <w:rsid w:val="00114132"/>
    <w:rsid w:val="00117CBD"/>
    <w:rsid w:val="00117FD4"/>
    <w:rsid w:val="0013467F"/>
    <w:rsid w:val="00142AAE"/>
    <w:rsid w:val="00146E91"/>
    <w:rsid w:val="001504CE"/>
    <w:rsid w:val="00151592"/>
    <w:rsid w:val="00151C69"/>
    <w:rsid w:val="00155711"/>
    <w:rsid w:val="0016266D"/>
    <w:rsid w:val="00166682"/>
    <w:rsid w:val="00196FFA"/>
    <w:rsid w:val="001A3814"/>
    <w:rsid w:val="001B4575"/>
    <w:rsid w:val="001B7BB4"/>
    <w:rsid w:val="001C2B53"/>
    <w:rsid w:val="001C2CC6"/>
    <w:rsid w:val="001C7C02"/>
    <w:rsid w:val="001D390C"/>
    <w:rsid w:val="001D413A"/>
    <w:rsid w:val="001D756B"/>
    <w:rsid w:val="001E1E4B"/>
    <w:rsid w:val="001E30B3"/>
    <w:rsid w:val="001F1141"/>
    <w:rsid w:val="001F3C3F"/>
    <w:rsid w:val="00220D3D"/>
    <w:rsid w:val="00225B1E"/>
    <w:rsid w:val="00232451"/>
    <w:rsid w:val="0023311B"/>
    <w:rsid w:val="00234F4D"/>
    <w:rsid w:val="00251612"/>
    <w:rsid w:val="00252BD2"/>
    <w:rsid w:val="00252C6A"/>
    <w:rsid w:val="0025691A"/>
    <w:rsid w:val="002650CB"/>
    <w:rsid w:val="00290DA7"/>
    <w:rsid w:val="002923D7"/>
    <w:rsid w:val="00295D66"/>
    <w:rsid w:val="00296837"/>
    <w:rsid w:val="00296C02"/>
    <w:rsid w:val="00297FFA"/>
    <w:rsid w:val="002A0DFB"/>
    <w:rsid w:val="002A6109"/>
    <w:rsid w:val="002B72E8"/>
    <w:rsid w:val="002D3319"/>
    <w:rsid w:val="002E534F"/>
    <w:rsid w:val="002E5874"/>
    <w:rsid w:val="0030539A"/>
    <w:rsid w:val="003140F9"/>
    <w:rsid w:val="00315757"/>
    <w:rsid w:val="00315C02"/>
    <w:rsid w:val="003258DF"/>
    <w:rsid w:val="00326A95"/>
    <w:rsid w:val="0033058E"/>
    <w:rsid w:val="003311D2"/>
    <w:rsid w:val="003318AB"/>
    <w:rsid w:val="00361C60"/>
    <w:rsid w:val="00364375"/>
    <w:rsid w:val="003664A9"/>
    <w:rsid w:val="0036710F"/>
    <w:rsid w:val="00373297"/>
    <w:rsid w:val="003776EE"/>
    <w:rsid w:val="003827E2"/>
    <w:rsid w:val="00384CE6"/>
    <w:rsid w:val="00390438"/>
    <w:rsid w:val="003944D2"/>
    <w:rsid w:val="003975E2"/>
    <w:rsid w:val="003A2184"/>
    <w:rsid w:val="003A7319"/>
    <w:rsid w:val="003B3C76"/>
    <w:rsid w:val="003B6AB2"/>
    <w:rsid w:val="003C0523"/>
    <w:rsid w:val="003C237A"/>
    <w:rsid w:val="003D061B"/>
    <w:rsid w:val="003D1E08"/>
    <w:rsid w:val="003F2196"/>
    <w:rsid w:val="003F37E7"/>
    <w:rsid w:val="003F6EA5"/>
    <w:rsid w:val="0040163E"/>
    <w:rsid w:val="00403685"/>
    <w:rsid w:val="00405DC4"/>
    <w:rsid w:val="00424656"/>
    <w:rsid w:val="00426CC6"/>
    <w:rsid w:val="0043040C"/>
    <w:rsid w:val="004356D6"/>
    <w:rsid w:val="00437519"/>
    <w:rsid w:val="00447BF2"/>
    <w:rsid w:val="00456D21"/>
    <w:rsid w:val="004600A4"/>
    <w:rsid w:val="00463EC5"/>
    <w:rsid w:val="00464496"/>
    <w:rsid w:val="00472C62"/>
    <w:rsid w:val="00474A2B"/>
    <w:rsid w:val="00483199"/>
    <w:rsid w:val="00483541"/>
    <w:rsid w:val="004902B6"/>
    <w:rsid w:val="00493497"/>
    <w:rsid w:val="0049450B"/>
    <w:rsid w:val="004A4809"/>
    <w:rsid w:val="004B2684"/>
    <w:rsid w:val="004C273F"/>
    <w:rsid w:val="004D3949"/>
    <w:rsid w:val="004E0A8C"/>
    <w:rsid w:val="0050096B"/>
    <w:rsid w:val="00501323"/>
    <w:rsid w:val="005113FC"/>
    <w:rsid w:val="00513CDA"/>
    <w:rsid w:val="005158F8"/>
    <w:rsid w:val="00524089"/>
    <w:rsid w:val="0053216A"/>
    <w:rsid w:val="00534225"/>
    <w:rsid w:val="00547C0F"/>
    <w:rsid w:val="00551D2D"/>
    <w:rsid w:val="00572481"/>
    <w:rsid w:val="005826D8"/>
    <w:rsid w:val="00584748"/>
    <w:rsid w:val="00584E2A"/>
    <w:rsid w:val="00590EC0"/>
    <w:rsid w:val="005910A1"/>
    <w:rsid w:val="00596165"/>
    <w:rsid w:val="005961A7"/>
    <w:rsid w:val="005A147A"/>
    <w:rsid w:val="005C115D"/>
    <w:rsid w:val="005D06F5"/>
    <w:rsid w:val="005D19BB"/>
    <w:rsid w:val="005D2117"/>
    <w:rsid w:val="005D3B37"/>
    <w:rsid w:val="005D6430"/>
    <w:rsid w:val="005D688D"/>
    <w:rsid w:val="005D7438"/>
    <w:rsid w:val="005E3493"/>
    <w:rsid w:val="005E73F4"/>
    <w:rsid w:val="005F27A5"/>
    <w:rsid w:val="006053D3"/>
    <w:rsid w:val="00610402"/>
    <w:rsid w:val="006109C7"/>
    <w:rsid w:val="00613937"/>
    <w:rsid w:val="006160D7"/>
    <w:rsid w:val="00621446"/>
    <w:rsid w:val="00622EAA"/>
    <w:rsid w:val="0062446A"/>
    <w:rsid w:val="00625557"/>
    <w:rsid w:val="00630466"/>
    <w:rsid w:val="006352FB"/>
    <w:rsid w:val="00640C65"/>
    <w:rsid w:val="006411EC"/>
    <w:rsid w:val="006622C4"/>
    <w:rsid w:val="0066275D"/>
    <w:rsid w:val="0067785A"/>
    <w:rsid w:val="006A082E"/>
    <w:rsid w:val="006A2183"/>
    <w:rsid w:val="006A40ED"/>
    <w:rsid w:val="006B1F18"/>
    <w:rsid w:val="006B4E12"/>
    <w:rsid w:val="006B5B41"/>
    <w:rsid w:val="006D2BEA"/>
    <w:rsid w:val="006D2C39"/>
    <w:rsid w:val="006D2C50"/>
    <w:rsid w:val="006D500D"/>
    <w:rsid w:val="006E63F2"/>
    <w:rsid w:val="006F5A7B"/>
    <w:rsid w:val="006F6347"/>
    <w:rsid w:val="00701114"/>
    <w:rsid w:val="007045B9"/>
    <w:rsid w:val="007104EE"/>
    <w:rsid w:val="00716DF7"/>
    <w:rsid w:val="00717FB2"/>
    <w:rsid w:val="00731514"/>
    <w:rsid w:val="0075174D"/>
    <w:rsid w:val="00756358"/>
    <w:rsid w:val="00760DF8"/>
    <w:rsid w:val="00771568"/>
    <w:rsid w:val="007845D6"/>
    <w:rsid w:val="0079194E"/>
    <w:rsid w:val="007955EB"/>
    <w:rsid w:val="007A26A7"/>
    <w:rsid w:val="007A7727"/>
    <w:rsid w:val="007B5FB7"/>
    <w:rsid w:val="007D0B0F"/>
    <w:rsid w:val="007D1972"/>
    <w:rsid w:val="007D77A0"/>
    <w:rsid w:val="007F000D"/>
    <w:rsid w:val="007F2A6B"/>
    <w:rsid w:val="007F4785"/>
    <w:rsid w:val="007F6360"/>
    <w:rsid w:val="007F6600"/>
    <w:rsid w:val="008048A4"/>
    <w:rsid w:val="0080616D"/>
    <w:rsid w:val="008168BF"/>
    <w:rsid w:val="0082127D"/>
    <w:rsid w:val="008278BE"/>
    <w:rsid w:val="00827ADD"/>
    <w:rsid w:val="008362C3"/>
    <w:rsid w:val="00855954"/>
    <w:rsid w:val="00856F57"/>
    <w:rsid w:val="00860ADE"/>
    <w:rsid w:val="00863BBC"/>
    <w:rsid w:val="00864E3E"/>
    <w:rsid w:val="00880E5E"/>
    <w:rsid w:val="0088376C"/>
    <w:rsid w:val="00884EBC"/>
    <w:rsid w:val="00891763"/>
    <w:rsid w:val="00891766"/>
    <w:rsid w:val="00891DB1"/>
    <w:rsid w:val="00894175"/>
    <w:rsid w:val="008A3EDA"/>
    <w:rsid w:val="008A4426"/>
    <w:rsid w:val="008A5498"/>
    <w:rsid w:val="008B526A"/>
    <w:rsid w:val="008C10E2"/>
    <w:rsid w:val="008C3439"/>
    <w:rsid w:val="008C3F94"/>
    <w:rsid w:val="008D15CF"/>
    <w:rsid w:val="008D4D8F"/>
    <w:rsid w:val="008D53E3"/>
    <w:rsid w:val="008E6F65"/>
    <w:rsid w:val="009070BC"/>
    <w:rsid w:val="009156DB"/>
    <w:rsid w:val="009225D8"/>
    <w:rsid w:val="009235E7"/>
    <w:rsid w:val="009409F4"/>
    <w:rsid w:val="00945493"/>
    <w:rsid w:val="00951DF1"/>
    <w:rsid w:val="00954FC6"/>
    <w:rsid w:val="009560D9"/>
    <w:rsid w:val="00966095"/>
    <w:rsid w:val="0097051E"/>
    <w:rsid w:val="00981FE9"/>
    <w:rsid w:val="00997C77"/>
    <w:rsid w:val="009B60E4"/>
    <w:rsid w:val="009C412E"/>
    <w:rsid w:val="009D39AF"/>
    <w:rsid w:val="00A06AD7"/>
    <w:rsid w:val="00A0797F"/>
    <w:rsid w:val="00A1311B"/>
    <w:rsid w:val="00A21113"/>
    <w:rsid w:val="00A218A6"/>
    <w:rsid w:val="00A22D18"/>
    <w:rsid w:val="00A2603C"/>
    <w:rsid w:val="00A34BBA"/>
    <w:rsid w:val="00A5110E"/>
    <w:rsid w:val="00A545A4"/>
    <w:rsid w:val="00A61761"/>
    <w:rsid w:val="00A621FB"/>
    <w:rsid w:val="00A662C7"/>
    <w:rsid w:val="00A71211"/>
    <w:rsid w:val="00A72CC6"/>
    <w:rsid w:val="00A7526E"/>
    <w:rsid w:val="00A814A6"/>
    <w:rsid w:val="00A860D3"/>
    <w:rsid w:val="00A96B9A"/>
    <w:rsid w:val="00AA13B2"/>
    <w:rsid w:val="00AA2DB2"/>
    <w:rsid w:val="00AA3C6E"/>
    <w:rsid w:val="00AB06BE"/>
    <w:rsid w:val="00AB10E1"/>
    <w:rsid w:val="00AB2315"/>
    <w:rsid w:val="00AD2108"/>
    <w:rsid w:val="00AD40C6"/>
    <w:rsid w:val="00AD4142"/>
    <w:rsid w:val="00AE329B"/>
    <w:rsid w:val="00AE481A"/>
    <w:rsid w:val="00AE597B"/>
    <w:rsid w:val="00AF0601"/>
    <w:rsid w:val="00AF28CC"/>
    <w:rsid w:val="00AF5F03"/>
    <w:rsid w:val="00B0092E"/>
    <w:rsid w:val="00B10E8C"/>
    <w:rsid w:val="00B13273"/>
    <w:rsid w:val="00B23D42"/>
    <w:rsid w:val="00B333B6"/>
    <w:rsid w:val="00B3509A"/>
    <w:rsid w:val="00B41CB3"/>
    <w:rsid w:val="00B50125"/>
    <w:rsid w:val="00B63360"/>
    <w:rsid w:val="00B67EA3"/>
    <w:rsid w:val="00B75B27"/>
    <w:rsid w:val="00B92DD5"/>
    <w:rsid w:val="00B94A83"/>
    <w:rsid w:val="00BA2CB3"/>
    <w:rsid w:val="00BA6F0E"/>
    <w:rsid w:val="00BB5EA9"/>
    <w:rsid w:val="00BD10F8"/>
    <w:rsid w:val="00BD4A57"/>
    <w:rsid w:val="00BD784A"/>
    <w:rsid w:val="00BD7C10"/>
    <w:rsid w:val="00BF14FE"/>
    <w:rsid w:val="00BF643C"/>
    <w:rsid w:val="00C11E5E"/>
    <w:rsid w:val="00C408FD"/>
    <w:rsid w:val="00C41C47"/>
    <w:rsid w:val="00C41F96"/>
    <w:rsid w:val="00C46825"/>
    <w:rsid w:val="00C472E6"/>
    <w:rsid w:val="00C515AE"/>
    <w:rsid w:val="00C57164"/>
    <w:rsid w:val="00C764AA"/>
    <w:rsid w:val="00C76809"/>
    <w:rsid w:val="00C803B6"/>
    <w:rsid w:val="00C80F42"/>
    <w:rsid w:val="00C85720"/>
    <w:rsid w:val="00C90E9D"/>
    <w:rsid w:val="00C91600"/>
    <w:rsid w:val="00C95B6B"/>
    <w:rsid w:val="00CA02D6"/>
    <w:rsid w:val="00CA142A"/>
    <w:rsid w:val="00CA60AE"/>
    <w:rsid w:val="00CD2215"/>
    <w:rsid w:val="00CD2617"/>
    <w:rsid w:val="00CD7DEC"/>
    <w:rsid w:val="00CE0A29"/>
    <w:rsid w:val="00CE24DE"/>
    <w:rsid w:val="00CE3F7C"/>
    <w:rsid w:val="00CF2094"/>
    <w:rsid w:val="00D0441E"/>
    <w:rsid w:val="00D062FF"/>
    <w:rsid w:val="00D06D35"/>
    <w:rsid w:val="00D155DB"/>
    <w:rsid w:val="00D17B7B"/>
    <w:rsid w:val="00D20B74"/>
    <w:rsid w:val="00D408CA"/>
    <w:rsid w:val="00D42C31"/>
    <w:rsid w:val="00D47E43"/>
    <w:rsid w:val="00D52BE1"/>
    <w:rsid w:val="00D53050"/>
    <w:rsid w:val="00D60454"/>
    <w:rsid w:val="00D62CE0"/>
    <w:rsid w:val="00D6440C"/>
    <w:rsid w:val="00D647B1"/>
    <w:rsid w:val="00D75967"/>
    <w:rsid w:val="00D76838"/>
    <w:rsid w:val="00DA2ECF"/>
    <w:rsid w:val="00DA52C5"/>
    <w:rsid w:val="00DC4CEF"/>
    <w:rsid w:val="00DE4682"/>
    <w:rsid w:val="00DE5AD9"/>
    <w:rsid w:val="00E04978"/>
    <w:rsid w:val="00E1139F"/>
    <w:rsid w:val="00E20B08"/>
    <w:rsid w:val="00E23826"/>
    <w:rsid w:val="00E3740F"/>
    <w:rsid w:val="00E374F5"/>
    <w:rsid w:val="00E45CE8"/>
    <w:rsid w:val="00E5301F"/>
    <w:rsid w:val="00E6177D"/>
    <w:rsid w:val="00E6666C"/>
    <w:rsid w:val="00E76708"/>
    <w:rsid w:val="00EA19E0"/>
    <w:rsid w:val="00EA3754"/>
    <w:rsid w:val="00EB527B"/>
    <w:rsid w:val="00EC3C26"/>
    <w:rsid w:val="00EC73E5"/>
    <w:rsid w:val="00EC74A0"/>
    <w:rsid w:val="00EE29ED"/>
    <w:rsid w:val="00EE30EA"/>
    <w:rsid w:val="00EF03F7"/>
    <w:rsid w:val="00EF667D"/>
    <w:rsid w:val="00F031EF"/>
    <w:rsid w:val="00F04473"/>
    <w:rsid w:val="00F200CA"/>
    <w:rsid w:val="00F33156"/>
    <w:rsid w:val="00F43BC6"/>
    <w:rsid w:val="00F80CB9"/>
    <w:rsid w:val="00F8262C"/>
    <w:rsid w:val="00F84614"/>
    <w:rsid w:val="00F84B1F"/>
    <w:rsid w:val="00F9212F"/>
    <w:rsid w:val="00F9360A"/>
    <w:rsid w:val="00FA0743"/>
    <w:rsid w:val="00FA4F2E"/>
    <w:rsid w:val="00FA5058"/>
    <w:rsid w:val="00FB1B90"/>
    <w:rsid w:val="00FB72F0"/>
    <w:rsid w:val="00FC3579"/>
    <w:rsid w:val="00FD0A20"/>
    <w:rsid w:val="00FD7165"/>
    <w:rsid w:val="00FE2DC2"/>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330D"/>
  <w15:chartTrackingRefBased/>
  <w15:docId w15:val="{D94C358A-DD60-4800-AA4A-99D3CB3A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A4"/>
    <w:rPr>
      <w:rFonts w:eastAsia="Times New Roman"/>
      <w:sz w:val="24"/>
      <w:szCs w:val="24"/>
    </w:rPr>
  </w:style>
  <w:style w:type="paragraph" w:styleId="Heading1">
    <w:name w:val="heading 1"/>
    <w:basedOn w:val="Normal"/>
    <w:next w:val="Normal"/>
    <w:link w:val="Heading1Char"/>
    <w:qFormat/>
    <w:rsid w:val="004600A4"/>
    <w:pPr>
      <w:keepNext/>
      <w:outlineLvl w:val="0"/>
    </w:pPr>
    <w:rPr>
      <w:sz w:val="20"/>
      <w:szCs w:val="20"/>
      <w:lang w:eastAsia="x-none"/>
    </w:rPr>
  </w:style>
  <w:style w:type="paragraph" w:styleId="Heading2">
    <w:name w:val="heading 2"/>
    <w:basedOn w:val="Normal"/>
    <w:next w:val="Normal"/>
    <w:link w:val="Heading2Char"/>
    <w:uiPriority w:val="9"/>
    <w:semiHidden/>
    <w:unhideWhenUsed/>
    <w:qFormat/>
    <w:rsid w:val="00B132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FE2DC2"/>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00A4"/>
    <w:rPr>
      <w:rFonts w:eastAsia="Times New Roman" w:cs="Times New Roman"/>
      <w:szCs w:val="20"/>
      <w:lang w:val="en-US"/>
    </w:rPr>
  </w:style>
  <w:style w:type="character" w:styleId="Hyperlink">
    <w:name w:val="Hyperlink"/>
    <w:uiPriority w:val="99"/>
    <w:unhideWhenUsed/>
    <w:rsid w:val="00D647B1"/>
    <w:rPr>
      <w:color w:val="0000FF"/>
      <w:u w:val="single"/>
    </w:rPr>
  </w:style>
  <w:style w:type="paragraph" w:styleId="Header">
    <w:name w:val="header"/>
    <w:basedOn w:val="Normal"/>
    <w:link w:val="HeaderChar"/>
    <w:uiPriority w:val="99"/>
    <w:unhideWhenUsed/>
    <w:rsid w:val="00EE30EA"/>
    <w:pPr>
      <w:tabs>
        <w:tab w:val="center" w:pos="4680"/>
        <w:tab w:val="right" w:pos="9360"/>
      </w:tabs>
    </w:pPr>
    <w:rPr>
      <w:lang w:val="x-none" w:eastAsia="x-none"/>
    </w:rPr>
  </w:style>
  <w:style w:type="character" w:customStyle="1" w:styleId="HeaderChar">
    <w:name w:val="Header Char"/>
    <w:link w:val="Header"/>
    <w:uiPriority w:val="99"/>
    <w:rsid w:val="00EE30EA"/>
    <w:rPr>
      <w:rFonts w:eastAsia="Times New Roman"/>
      <w:sz w:val="24"/>
      <w:szCs w:val="24"/>
    </w:rPr>
  </w:style>
  <w:style w:type="paragraph" w:styleId="Footer">
    <w:name w:val="footer"/>
    <w:basedOn w:val="Normal"/>
    <w:link w:val="FooterChar"/>
    <w:uiPriority w:val="99"/>
    <w:unhideWhenUsed/>
    <w:rsid w:val="00EE30EA"/>
    <w:pPr>
      <w:tabs>
        <w:tab w:val="center" w:pos="4680"/>
        <w:tab w:val="right" w:pos="9360"/>
      </w:tabs>
    </w:pPr>
    <w:rPr>
      <w:lang w:val="x-none" w:eastAsia="x-none"/>
    </w:rPr>
  </w:style>
  <w:style w:type="character" w:customStyle="1" w:styleId="FooterChar">
    <w:name w:val="Footer Char"/>
    <w:link w:val="Footer"/>
    <w:uiPriority w:val="99"/>
    <w:rsid w:val="00EE30EA"/>
    <w:rPr>
      <w:rFonts w:eastAsia="Times New Roman"/>
      <w:sz w:val="24"/>
      <w:szCs w:val="24"/>
    </w:rPr>
  </w:style>
  <w:style w:type="paragraph" w:styleId="BalloonText">
    <w:name w:val="Balloon Text"/>
    <w:basedOn w:val="Normal"/>
    <w:link w:val="BalloonTextChar"/>
    <w:uiPriority w:val="99"/>
    <w:semiHidden/>
    <w:unhideWhenUsed/>
    <w:rsid w:val="0080616D"/>
    <w:rPr>
      <w:rFonts w:ascii="Segoe UI" w:hAnsi="Segoe UI"/>
      <w:sz w:val="18"/>
      <w:szCs w:val="18"/>
      <w:lang w:val="x-none" w:eastAsia="x-none"/>
    </w:rPr>
  </w:style>
  <w:style w:type="character" w:customStyle="1" w:styleId="BalloonTextChar">
    <w:name w:val="Balloon Text Char"/>
    <w:link w:val="BalloonText"/>
    <w:uiPriority w:val="99"/>
    <w:semiHidden/>
    <w:rsid w:val="0080616D"/>
    <w:rPr>
      <w:rFonts w:ascii="Segoe UI" w:eastAsia="Times New Roman" w:hAnsi="Segoe UI" w:cs="Segoe UI"/>
      <w:sz w:val="18"/>
      <w:szCs w:val="18"/>
    </w:rPr>
  </w:style>
  <w:style w:type="character" w:customStyle="1" w:styleId="font-13">
    <w:name w:val="font-13"/>
    <w:rsid w:val="00296C02"/>
  </w:style>
  <w:style w:type="paragraph" w:styleId="ListParagraph">
    <w:name w:val="List Paragraph"/>
    <w:aliases w:val="bullet"/>
    <w:basedOn w:val="Normal"/>
    <w:link w:val="ListParagraphChar"/>
    <w:uiPriority w:val="34"/>
    <w:qFormat/>
    <w:rsid w:val="00AE481A"/>
    <w:pPr>
      <w:spacing w:after="200" w:line="276" w:lineRule="auto"/>
      <w:ind w:left="720"/>
      <w:contextualSpacing/>
    </w:pPr>
    <w:rPr>
      <w:rFonts w:eastAsia="Calibri"/>
      <w:szCs w:val="22"/>
    </w:rPr>
  </w:style>
  <w:style w:type="table" w:styleId="TableGrid">
    <w:name w:val="Table Grid"/>
    <w:basedOn w:val="TableNormal"/>
    <w:uiPriority w:val="59"/>
    <w:rsid w:val="000C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90438"/>
    <w:rPr>
      <w:rFonts w:ascii="Times New Roman" w:hAnsi="Times New Roman" w:cs="Times New Roman" w:hint="default"/>
      <w:b w:val="0"/>
      <w:bCs w:val="0"/>
      <w:i/>
      <w:iCs/>
      <w:color w:val="000000"/>
      <w:sz w:val="28"/>
      <w:szCs w:val="28"/>
    </w:rPr>
  </w:style>
  <w:style w:type="character" w:customStyle="1" w:styleId="fontstyle21">
    <w:name w:val="fontstyle21"/>
    <w:rsid w:val="00390438"/>
    <w:rPr>
      <w:rFonts w:ascii="Times New Roman" w:hAnsi="Times New Roman" w:cs="Times New Roman" w:hint="default"/>
      <w:b w:val="0"/>
      <w:bCs w:val="0"/>
      <w:i w:val="0"/>
      <w:iCs w:val="0"/>
      <w:color w:val="000000"/>
      <w:sz w:val="28"/>
      <w:szCs w:val="28"/>
    </w:rPr>
  </w:style>
  <w:style w:type="paragraph" w:customStyle="1" w:styleId="normal-p">
    <w:name w:val="normal-p"/>
    <w:basedOn w:val="Normal"/>
    <w:rsid w:val="00155711"/>
    <w:pPr>
      <w:overflowPunct w:val="0"/>
      <w:jc w:val="both"/>
    </w:pPr>
    <w:rPr>
      <w:rFonts w:eastAsia="Calibri"/>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E6CF7"/>
    <w:pPr>
      <w:spacing w:after="200" w:line="276" w:lineRule="auto"/>
    </w:pPr>
    <w:rPr>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0E6CF7"/>
    <w:rPr>
      <w:rFonts w:eastAsia="Times New Roman"/>
      <w:sz w:val="24"/>
      <w:szCs w:val="24"/>
      <w:lang w:val="vi-VN" w:eastAsia="en-US"/>
    </w:rPr>
  </w:style>
  <w:style w:type="paragraph" w:styleId="CommentText">
    <w:name w:val="annotation text"/>
    <w:basedOn w:val="Normal"/>
    <w:link w:val="CommentTextChar"/>
    <w:uiPriority w:val="99"/>
    <w:rsid w:val="00361C60"/>
    <w:pPr>
      <w:autoSpaceDE w:val="0"/>
      <w:autoSpaceDN w:val="0"/>
    </w:pPr>
    <w:rPr>
      <w:sz w:val="20"/>
      <w:szCs w:val="20"/>
      <w:lang w:val="x-none" w:eastAsia="x-none"/>
    </w:rPr>
  </w:style>
  <w:style w:type="character" w:customStyle="1" w:styleId="CommentTextChar">
    <w:name w:val="Comment Text Char"/>
    <w:link w:val="CommentText"/>
    <w:uiPriority w:val="99"/>
    <w:rsid w:val="00361C60"/>
    <w:rPr>
      <w:rFonts w:eastAsia="Times New Roman"/>
      <w:lang w:val="x-none" w:eastAsia="x-none"/>
    </w:rPr>
  </w:style>
  <w:style w:type="character" w:styleId="CommentReference">
    <w:name w:val="annotation reference"/>
    <w:uiPriority w:val="99"/>
    <w:rsid w:val="00361C60"/>
    <w:rPr>
      <w:sz w:val="16"/>
      <w:szCs w:val="16"/>
    </w:rPr>
  </w:style>
  <w:style w:type="paragraph" w:styleId="Revision">
    <w:name w:val="Revision"/>
    <w:hidden/>
    <w:uiPriority w:val="99"/>
    <w:semiHidden/>
    <w:rsid w:val="005961A7"/>
    <w:rPr>
      <w:rFonts w:eastAsia="Times New Roman"/>
      <w:sz w:val="24"/>
      <w:szCs w:val="24"/>
    </w:rPr>
  </w:style>
  <w:style w:type="character" w:customStyle="1" w:styleId="Heading3Char">
    <w:name w:val="Heading 3 Char"/>
    <w:link w:val="Heading3"/>
    <w:uiPriority w:val="9"/>
    <w:rsid w:val="00FE2DC2"/>
    <w:rPr>
      <w:rFonts w:ascii="Aptos Display" w:eastAsia="Times New Roman" w:hAnsi="Aptos Display" w:cs="Times New Roman"/>
      <w:b/>
      <w:bCs/>
      <w:sz w:val="26"/>
      <w:szCs w:val="26"/>
    </w:rPr>
  </w:style>
  <w:style w:type="paragraph" w:styleId="CommentSubject">
    <w:name w:val="annotation subject"/>
    <w:basedOn w:val="CommentText"/>
    <w:next w:val="CommentText"/>
    <w:link w:val="CommentSubjectChar"/>
    <w:uiPriority w:val="99"/>
    <w:semiHidden/>
    <w:unhideWhenUsed/>
    <w:rsid w:val="00771568"/>
    <w:pPr>
      <w:autoSpaceDE/>
      <w:autoSpaceDN/>
    </w:pPr>
    <w:rPr>
      <w:b/>
      <w:bCs/>
      <w:lang w:val="en-US" w:eastAsia="en-US"/>
    </w:rPr>
  </w:style>
  <w:style w:type="character" w:customStyle="1" w:styleId="CommentSubjectChar">
    <w:name w:val="Comment Subject Char"/>
    <w:link w:val="CommentSubject"/>
    <w:uiPriority w:val="99"/>
    <w:semiHidden/>
    <w:rsid w:val="00771568"/>
    <w:rPr>
      <w:rFonts w:eastAsia="Times New Roman"/>
      <w:b/>
      <w:bCs/>
      <w:lang w:val="x-none" w:eastAsia="x-none"/>
    </w:rPr>
  </w:style>
  <w:style w:type="character" w:customStyle="1" w:styleId="font12boldblack">
    <w:name w:val="font12boldblack"/>
    <w:basedOn w:val="DefaultParagraphFont"/>
    <w:rsid w:val="00E76708"/>
  </w:style>
  <w:style w:type="character" w:customStyle="1" w:styleId="Heading2Char">
    <w:name w:val="Heading 2 Char"/>
    <w:link w:val="Heading2"/>
    <w:uiPriority w:val="9"/>
    <w:semiHidden/>
    <w:rsid w:val="00B13273"/>
    <w:rPr>
      <w:rFonts w:ascii="Calibri Light" w:eastAsia="Times New Roman" w:hAnsi="Calibri Light" w:cs="Times New Roman"/>
      <w:b/>
      <w:bCs/>
      <w:i/>
      <w:iCs/>
      <w:sz w:val="28"/>
      <w:szCs w:val="28"/>
    </w:rPr>
  </w:style>
  <w:style w:type="character" w:customStyle="1" w:styleId="ListParagraphChar">
    <w:name w:val="List Paragraph Char"/>
    <w:aliases w:val="bullet Char"/>
    <w:link w:val="ListParagraph"/>
    <w:uiPriority w:val="34"/>
    <w:locked/>
    <w:rsid w:val="003318A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732">
      <w:bodyDiv w:val="1"/>
      <w:marLeft w:val="0"/>
      <w:marRight w:val="0"/>
      <w:marTop w:val="0"/>
      <w:marBottom w:val="0"/>
      <w:divBdr>
        <w:top w:val="none" w:sz="0" w:space="0" w:color="auto"/>
        <w:left w:val="none" w:sz="0" w:space="0" w:color="auto"/>
        <w:bottom w:val="none" w:sz="0" w:space="0" w:color="auto"/>
        <w:right w:val="none" w:sz="0" w:space="0" w:color="auto"/>
      </w:divBdr>
    </w:div>
    <w:div w:id="824081314">
      <w:bodyDiv w:val="1"/>
      <w:marLeft w:val="0"/>
      <w:marRight w:val="0"/>
      <w:marTop w:val="0"/>
      <w:marBottom w:val="0"/>
      <w:divBdr>
        <w:top w:val="none" w:sz="0" w:space="0" w:color="auto"/>
        <w:left w:val="none" w:sz="0" w:space="0" w:color="auto"/>
        <w:bottom w:val="none" w:sz="0" w:space="0" w:color="auto"/>
        <w:right w:val="none" w:sz="0" w:space="0" w:color="auto"/>
      </w:divBdr>
    </w:div>
    <w:div w:id="883172301">
      <w:bodyDiv w:val="1"/>
      <w:marLeft w:val="0"/>
      <w:marRight w:val="0"/>
      <w:marTop w:val="0"/>
      <w:marBottom w:val="0"/>
      <w:divBdr>
        <w:top w:val="none" w:sz="0" w:space="0" w:color="auto"/>
        <w:left w:val="none" w:sz="0" w:space="0" w:color="auto"/>
        <w:bottom w:val="none" w:sz="0" w:space="0" w:color="auto"/>
        <w:right w:val="none" w:sz="0" w:space="0" w:color="auto"/>
      </w:divBdr>
    </w:div>
    <w:div w:id="1169634715">
      <w:bodyDiv w:val="1"/>
      <w:marLeft w:val="0"/>
      <w:marRight w:val="0"/>
      <w:marTop w:val="0"/>
      <w:marBottom w:val="0"/>
      <w:divBdr>
        <w:top w:val="none" w:sz="0" w:space="0" w:color="auto"/>
        <w:left w:val="none" w:sz="0" w:space="0" w:color="auto"/>
        <w:bottom w:val="none" w:sz="0" w:space="0" w:color="auto"/>
        <w:right w:val="none" w:sz="0" w:space="0" w:color="auto"/>
      </w:divBdr>
    </w:div>
    <w:div w:id="1488982196">
      <w:bodyDiv w:val="1"/>
      <w:marLeft w:val="0"/>
      <w:marRight w:val="0"/>
      <w:marTop w:val="0"/>
      <w:marBottom w:val="0"/>
      <w:divBdr>
        <w:top w:val="none" w:sz="0" w:space="0" w:color="auto"/>
        <w:left w:val="none" w:sz="0" w:space="0" w:color="auto"/>
        <w:bottom w:val="none" w:sz="0" w:space="0" w:color="auto"/>
        <w:right w:val="none" w:sz="0" w:space="0" w:color="auto"/>
      </w:divBdr>
    </w:div>
    <w:div w:id="20948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F450A-067A-4A05-9277-73B63802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cp:lastModifiedBy>Quyen, Nguyen Hoang (TCT)</cp:lastModifiedBy>
  <cp:revision>2</cp:revision>
  <cp:lastPrinted>2021-02-26T03:47:00Z</cp:lastPrinted>
  <dcterms:created xsi:type="dcterms:W3CDTF">2026-03-31T02:08:00Z</dcterms:created>
  <dcterms:modified xsi:type="dcterms:W3CDTF">2026-03-31T02:08:00Z</dcterms:modified>
</cp:coreProperties>
</file>