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E910" w14:textId="4A5CE2F0" w:rsidR="00EC0C22" w:rsidRPr="00B41639" w:rsidRDefault="00EC0C22" w:rsidP="00EC0C2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0" w:name="chuong_pl_4_name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QUY CHẾ HOẠT ĐỘNG CỦA BAN KIỂM SOÁT</w:t>
      </w:r>
      <w:bookmarkEnd w:id="0"/>
    </w:p>
    <w:p w14:paraId="6263FD73" w14:textId="77777777" w:rsidR="00EC0C22" w:rsidRPr="00B41639" w:rsidRDefault="00EC0C22" w:rsidP="00EC0C2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Căn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cứ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Luật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Chứng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khoán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ngày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26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tháng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11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năm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2019;</w:t>
      </w:r>
    </w:p>
    <w:p w14:paraId="30FF2189" w14:textId="77777777" w:rsidR="00EC0C22" w:rsidRPr="00B41639" w:rsidRDefault="00EC0C22" w:rsidP="00EC0C2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Căn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cứ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Luật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Doanh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nghiệp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ngày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17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tháng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6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năm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2020;</w:t>
      </w:r>
    </w:p>
    <w:p w14:paraId="46B648CE" w14:textId="77777777" w:rsidR="00EC0C22" w:rsidRPr="00B41639" w:rsidRDefault="00EC0C22" w:rsidP="00EC0C22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Căn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cứ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Nghị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định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số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 </w:t>
      </w:r>
      <w:hyperlink r:id="rId6" w:tgtFrame="_blank" w:tooltip="Nghị định 155/2020/NĐ-CP" w:history="1">
        <w:r w:rsidRPr="00B41639">
          <w:rPr>
            <w:rFonts w:ascii="Times New Roman" w:eastAsia="Times New Roman" w:hAnsi="Times New Roman" w:cs="Times New Roman"/>
            <w:i/>
            <w:iCs/>
            <w:noProof w:val="0"/>
            <w:color w:val="0E70C3"/>
            <w:sz w:val="26"/>
            <w:szCs w:val="26"/>
          </w:rPr>
          <w:t>155/2020/NĐ-CP</w:t>
        </w:r>
      </w:hyperlink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 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ngày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31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tháng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12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năm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2020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Chính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phủ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quy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định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chi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tiết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thi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hành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một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số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Luật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Chứng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khoán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;</w:t>
      </w:r>
    </w:p>
    <w:p w14:paraId="5A13DDFA" w14:textId="77777777" w:rsidR="00EC0C22" w:rsidRPr="00B41639" w:rsidRDefault="00EC0C22" w:rsidP="00EC0C22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Căn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cứ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Thông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tư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số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116/2020/TT-BTC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ngày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31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tháng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12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năm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2020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Bộ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trưởng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Bộ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Tài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chính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hướng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dẫn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một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số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về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quản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trị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công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ty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áp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dụng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đối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với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công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ty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đại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chúng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tại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Nghị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định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số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 </w:t>
      </w:r>
      <w:hyperlink r:id="rId7" w:tgtFrame="_blank" w:tooltip="Nghị định 155/2020/NĐ-CP" w:history="1">
        <w:r w:rsidRPr="00B41639">
          <w:rPr>
            <w:rFonts w:ascii="Times New Roman" w:eastAsia="Times New Roman" w:hAnsi="Times New Roman" w:cs="Times New Roman"/>
            <w:i/>
            <w:iCs/>
            <w:noProof w:val="0"/>
            <w:color w:val="0E70C3"/>
            <w:sz w:val="26"/>
            <w:szCs w:val="26"/>
          </w:rPr>
          <w:t>155/2020/NĐ-CP</w:t>
        </w:r>
      </w:hyperlink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 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ngày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31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tháng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12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năm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2020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Chính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phủ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quy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định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chi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tiết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thi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hành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một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số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Luật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Chứng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khoán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;</w:t>
      </w:r>
    </w:p>
    <w:p w14:paraId="4737A32D" w14:textId="38BE120B" w:rsidR="00EC0C22" w:rsidRPr="00B41639" w:rsidRDefault="00EC0C22" w:rsidP="00EC0C2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Căn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cứ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lệ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Tổng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Công ty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cổ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phần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Bảo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hiểm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Petrolimex</w:t>
      </w:r>
      <w:r w:rsidR="00CC239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="00CC239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ngày</w:t>
      </w:r>
      <w:proofErr w:type="spellEnd"/>
      <w:r w:rsidR="00CC239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15/04/2026</w:t>
      </w:r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;</w:t>
      </w:r>
    </w:p>
    <w:p w14:paraId="3C7BC9A4" w14:textId="77777777" w:rsidR="00EC0C22" w:rsidRPr="00B41639" w:rsidRDefault="00EC0C22" w:rsidP="00EC0C2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Căn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cứ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Nghị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quyết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Đại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hội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đồng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cổ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đông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số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...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ngày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...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tháng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...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năm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...</w:t>
      </w:r>
    </w:p>
    <w:p w14:paraId="73F37FAD" w14:textId="77777777" w:rsidR="00346870" w:rsidRDefault="00EC0C22" w:rsidP="00EC0C2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</w:pPr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Ban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soát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hành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Quy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chế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hoạt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động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soát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Tổng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Công ty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cổ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phần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Bảo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hiểm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Petrolimex</w:t>
      </w:r>
      <w:r w:rsidR="00346870"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</w:p>
    <w:p w14:paraId="5F760DA7" w14:textId="77777777" w:rsidR="00EC0C22" w:rsidRPr="00B41639" w:rsidRDefault="00EC0C22" w:rsidP="00EC0C22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Quy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chế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hoạt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động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soát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Tổng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Công ty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cổ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phần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Bảo </w:t>
      </w:r>
      <w:proofErr w:type="spellStart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hiểm</w:t>
      </w:r>
      <w:proofErr w:type="spellEnd"/>
      <w:r w:rsidR="00346870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Petrolimex</w:t>
      </w:r>
      <w:r w:rsidR="00346870"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bao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gồm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các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nội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 xml:space="preserve"> dung </w:t>
      </w:r>
      <w:proofErr w:type="spellStart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sau</w:t>
      </w:r>
      <w:proofErr w:type="spellEnd"/>
      <w:r w:rsidRPr="00B41639">
        <w:rPr>
          <w:rFonts w:ascii="Times New Roman" w:eastAsia="Times New Roman" w:hAnsi="Times New Roman" w:cs="Times New Roman"/>
          <w:i/>
          <w:iCs/>
          <w:noProof w:val="0"/>
          <w:color w:val="000000"/>
          <w:sz w:val="26"/>
          <w:szCs w:val="26"/>
        </w:rPr>
        <w:t>:</w:t>
      </w:r>
    </w:p>
    <w:p w14:paraId="4EF6989B" w14:textId="77777777" w:rsidR="00D53DDA" w:rsidRDefault="00D53DDA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</w:pPr>
      <w:bookmarkStart w:id="1" w:name="chuong_1_1"/>
    </w:p>
    <w:p w14:paraId="65496373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Chương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I</w:t>
      </w:r>
      <w:bookmarkEnd w:id="1"/>
    </w:p>
    <w:p w14:paraId="4B791741" w14:textId="77777777" w:rsidR="00EC0C22" w:rsidRPr="00B41639" w:rsidRDefault="00EC0C22" w:rsidP="00D57DE5">
      <w:pPr>
        <w:shd w:val="clear" w:color="auto" w:fill="FFFFFF"/>
        <w:spacing w:after="12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2" w:name="chuong_1_1_name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QUY ĐỊNH CHUNG</w:t>
      </w:r>
      <w:bookmarkEnd w:id="2"/>
    </w:p>
    <w:p w14:paraId="7F7E08B4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3" w:name="dieu_1_4"/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1. Phạm vi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chỉnh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và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đối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tượng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áp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dụng</w:t>
      </w:r>
      <w:bookmarkEnd w:id="3"/>
      <w:proofErr w:type="spellEnd"/>
    </w:p>
    <w:p w14:paraId="2120D768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4" w:name="dieu_2_4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Phạm vi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chỉnh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: Quy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cơ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cấu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sự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tiêu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chuẩn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nguyên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tắc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Bảo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Petrolimex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(Ban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Doanh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Bảo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Petrolimex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3F4678F" w14:textId="77777777" w:rsidR="00346870" w:rsidRPr="00346870" w:rsidRDefault="00346870" w:rsidP="00D57DE5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tượng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dụng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: Quy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dụng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23583F5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2. Nguyên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tắc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hoạt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động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4"/>
      <w:proofErr w:type="spellEnd"/>
    </w:p>
    <w:p w14:paraId="6A1431E2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5" w:name="chuong_2_1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nguyên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tắc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Các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chịu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cùng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chịu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hội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Kiểm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3CA89D0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đảm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tính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trung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tuân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đúng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hội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C15BAD1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Các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gửi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hội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Hội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trị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cơ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nước</w:t>
      </w:r>
      <w:proofErr w:type="spellEnd"/>
      <w:r w:rsidR="000F764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="000F764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cơ</w:t>
      </w:r>
      <w:proofErr w:type="spellEnd"/>
      <w:r w:rsidR="000F764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0F764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="000F764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0F764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="000F764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0F764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thảo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khảo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ý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Hội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trị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8ACBDFD" w14:textId="77777777" w:rsidR="00346870" w:rsidRDefault="00346870" w:rsidP="000F764A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lastRenderedPageBreak/>
        <w:t xml:space="preserve">4.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trở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bình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Hội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trị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gây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đoạn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xuất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thiệt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601797C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</w:pPr>
      <w:proofErr w:type="spellStart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3: </w:t>
      </w:r>
      <w:proofErr w:type="spellStart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Giải</w:t>
      </w:r>
      <w:proofErr w:type="spellEnd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thích</w:t>
      </w:r>
      <w:proofErr w:type="spellEnd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từ</w:t>
      </w:r>
      <w:proofErr w:type="spellEnd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ngữ</w:t>
      </w:r>
      <w:proofErr w:type="spellEnd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từ</w:t>
      </w:r>
      <w:proofErr w:type="spellEnd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viết</w:t>
      </w:r>
      <w:proofErr w:type="spellEnd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tắt</w:t>
      </w:r>
      <w:proofErr w:type="spellEnd"/>
    </w:p>
    <w:p w14:paraId="319E7D70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thích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ngữ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: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ngữ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sử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dụng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thích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văn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thì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tương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tự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như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văn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83F010A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tắt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:</w:t>
      </w:r>
    </w:p>
    <w:p w14:paraId="14179DD3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-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Bảo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Petrolimex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tắt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: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,</w:t>
      </w:r>
    </w:p>
    <w:p w14:paraId="690E5C2D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-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hội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tắt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: ĐHĐCĐ,</w:t>
      </w:r>
    </w:p>
    <w:p w14:paraId="66F310D9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-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Hội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trị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tắt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: HĐQT,</w:t>
      </w:r>
    </w:p>
    <w:p w14:paraId="15DA4142" w14:textId="77777777" w:rsidR="00346870" w:rsidRPr="00346870" w:rsidRDefault="00346870" w:rsidP="000F764A">
      <w:pPr>
        <w:shd w:val="clear" w:color="auto" w:fill="FFFFFF"/>
        <w:spacing w:before="60" w:after="24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-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tắt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: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</w:p>
    <w:p w14:paraId="71062E15" w14:textId="77777777" w:rsidR="00D53DDA" w:rsidRDefault="00D53DDA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</w:pPr>
    </w:p>
    <w:p w14:paraId="1522C2CF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Chương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II</w:t>
      </w:r>
      <w:bookmarkEnd w:id="5"/>
    </w:p>
    <w:p w14:paraId="71983751" w14:textId="77777777" w:rsidR="00EC0C22" w:rsidRPr="00B41639" w:rsidRDefault="00EC0C22" w:rsidP="000F764A">
      <w:pPr>
        <w:shd w:val="clear" w:color="auto" w:fill="FFFFFF"/>
        <w:spacing w:before="60" w:after="12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6" w:name="chuong_2_1_name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THÀNH VIÊN BAN KIỂM SOÁT </w:t>
      </w:r>
      <w:bookmarkEnd w:id="6"/>
    </w:p>
    <w:p w14:paraId="778F2080" w14:textId="77777777" w:rsidR="00EC0C22" w:rsidRPr="00B41639" w:rsidRDefault="00EC0C22" w:rsidP="000F764A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7" w:name="dieu_3_4"/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r w:rsid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4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Quyền,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nghĩa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vụ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và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trách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nhiệm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thành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viên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7"/>
      <w:proofErr w:type="spellEnd"/>
    </w:p>
    <w:p w14:paraId="48DEB4ED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8" w:name="dieu_4_4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Tuân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đúng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đức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2CFCDA1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trung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cẩn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trọng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đảm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tối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="0050416C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50416C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191051B0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Trung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lạm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dụng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vị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sử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dụng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bí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cơ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hội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tư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phục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21A8942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4.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Chịu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6F1064EB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5.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lưu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ý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62FC7132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6.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miễn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Trưởng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98F85AD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7.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Trưởng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bất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6207F0A6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8. Tham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dự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đầy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thảo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ý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rõ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ràng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thuộc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trừ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xung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65A7EFFC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9. Định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tình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hình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ngay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bất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chịu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ý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xét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đánh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Khi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kịp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6AE9506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10. Khi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Tổng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chậm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sau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5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kể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thúc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297F866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lastRenderedPageBreak/>
        <w:t xml:space="preserve">11. Tham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dự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ý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nhưng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sơ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…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B212637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12. Trường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gây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thiệt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thì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chịu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bồi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thiệt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Thu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nhập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 vi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hoàn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trả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1C3D890" w14:textId="77777777" w:rsidR="00346870" w:rsidRPr="00346870" w:rsidRDefault="003468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13. Trường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thì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văn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dứt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khắc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phục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hậu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157B1DA" w14:textId="77777777" w:rsidR="00346870" w:rsidRPr="00346870" w:rsidRDefault="00346870" w:rsidP="00BD09C3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14.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C4ED21D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r w:rsid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5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Nhiệm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kỳ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và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số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lượng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thành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viên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8"/>
      <w:proofErr w:type="spellEnd"/>
    </w:p>
    <w:p w14:paraId="66DF6BD0" w14:textId="6F6302C7" w:rsidR="00346870" w:rsidRPr="00346870" w:rsidRDefault="00346870" w:rsidP="00BD09C3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9" w:name="dieu_5_4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="00535C1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535C1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="00535C1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3 (</w:t>
      </w:r>
      <w:proofErr w:type="spellStart"/>
      <w:r w:rsidR="00535C1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ba</w:t>
      </w:r>
      <w:proofErr w:type="spellEnd"/>
      <w:r w:rsidR="00535C1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proofErr w:type="spellStart"/>
      <w:r w:rsidR="00535C1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5 (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quá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5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437FD21" w14:textId="77777777" w:rsidR="00346870" w:rsidRPr="00346870" w:rsidRDefault="00346870" w:rsidP="00BD09C3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12F6AA6A" w14:textId="77777777" w:rsidR="00346870" w:rsidRPr="00346870" w:rsidRDefault="00346870" w:rsidP="00BD09C3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3 (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trú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ở Việt Nam.</w:t>
      </w:r>
    </w:p>
    <w:p w14:paraId="1BF46CAB" w14:textId="77777777" w:rsidR="00346870" w:rsidRPr="00346870" w:rsidRDefault="00346870" w:rsidP="00BD09C3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4. Trường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tất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cả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cùng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thúc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chưa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thì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đã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vẫn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tiếp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tục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AF98C87" w14:textId="77777777" w:rsidR="00346870" w:rsidRPr="00346870" w:rsidRDefault="00346870" w:rsidP="00BD09C3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5. Trường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còn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3 (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sung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290D78F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r w:rsidR="003468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6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Tiêu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chuẩn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và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kiện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thành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viên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9"/>
      <w:proofErr w:type="spellEnd"/>
    </w:p>
    <w:p w14:paraId="29AA4B7D" w14:textId="77777777" w:rsidR="00346870" w:rsidRPr="00346870" w:rsidRDefault="00346870" w:rsidP="00BD09C3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10" w:name="dieu_6_4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thuộc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tượng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2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17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051EB947" w14:textId="77777777" w:rsidR="00207493" w:rsidRPr="00346870" w:rsidRDefault="00346870" w:rsidP="0069747A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trở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lên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chuyên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ngành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Trường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trở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lên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chuyên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ngành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thì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trở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lên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chuyên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ngành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chứng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chỉ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phù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loại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hình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mà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phép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triển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khai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cơ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sở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đào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tạo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nước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ngoài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nước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cấp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ít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03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lĩnh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vực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ngân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hàng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06B69B7C" w14:textId="77777777" w:rsidR="00346870" w:rsidRPr="00346870" w:rsidRDefault="00346870" w:rsidP="00BD09C3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đình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vốn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vốn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nước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26778A7D" w14:textId="77777777" w:rsidR="00346870" w:rsidRPr="00346870" w:rsidRDefault="00346870" w:rsidP="00BD09C3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4.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530897DA" w14:textId="77777777" w:rsidR="00346870" w:rsidRPr="00346870" w:rsidRDefault="00346870" w:rsidP="00BD09C3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5.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bộ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0BB67A1D" w14:textId="77777777" w:rsidR="00346870" w:rsidRPr="00346870" w:rsidRDefault="00346870" w:rsidP="00BD09C3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6.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hay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3 (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72775DEF" w14:textId="77777777" w:rsidR="00346870" w:rsidRPr="00346870" w:rsidRDefault="00346870" w:rsidP="0069747A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7.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Tiêu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chuẩn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</w:p>
    <w:p w14:paraId="685B8AE4" w14:textId="77777777" w:rsidR="00EC0C22" w:rsidRPr="00B41639" w:rsidRDefault="00EC0C22" w:rsidP="00BD09C3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7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Trưởng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10"/>
      <w:proofErr w:type="spellEnd"/>
    </w:p>
    <w:p w14:paraId="1AEC2A6B" w14:textId="5F765AD1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11" w:name="dieu_7_4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lastRenderedPageBreak/>
        <w:t xml:space="preserve">1.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Trưởng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đáp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kiện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tiêu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chuẩn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6 Quy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6A4C18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6A4C18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6A4C18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6A4C18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6A4C18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6A4C18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tái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Việt Nam</w:t>
      </w:r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69747A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207493" w:rsidRPr="002074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123F953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Trưởng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miễn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nguyên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tắc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C20D6AC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Quyền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Trưởng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</w:p>
    <w:p w14:paraId="62D83F27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a.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4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1CFB9DA0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b.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phối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triển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khai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7BDAD086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c.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BD09C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BD09C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BD09C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BD09C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BD09C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BD09C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147E96E0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d. Triệu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Thay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mặt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ký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văn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thuộc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thẩm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576EBBF5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e. Thay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mặt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bất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bất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4E2D82C4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f.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tọa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42FE6E19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g.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mối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tiếp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đảm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đầy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kịp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thảo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xem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xét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35D28734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h.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Chịu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dung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gửi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ĐHĐCĐ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nhân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6899B2BA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Ủy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vắng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mặt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6B6A656E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k.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Đảm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phương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6BC22152" w14:textId="77777777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l.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Trưởng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tọa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tịch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vắng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mặt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mất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khả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còn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tọa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Trường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cao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tọa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11854A71" w14:textId="77777777" w:rsidR="00346870" w:rsidRPr="00346870" w:rsidRDefault="00346870" w:rsidP="002D41E4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m.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41858A12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8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Đề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cử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,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ứng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cử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thành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viên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11"/>
      <w:proofErr w:type="spellEnd"/>
    </w:p>
    <w:p w14:paraId="3B0EB725" w14:textId="35269411" w:rsidR="00346870" w:rsidRPr="00346870" w:rsidRDefault="003468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12" w:name="dieu_8_3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nhóm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nắm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giữ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5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%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dưới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1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0%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(1)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1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0%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dưới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30%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tối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hai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(2)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30%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dưới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50%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tối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(3)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50%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dưới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90%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tối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bốn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(4)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E94E1C8" w14:textId="77777777" w:rsidR="00346870" w:rsidRPr="00346870" w:rsidRDefault="00346870" w:rsidP="002D41E4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lastRenderedPageBreak/>
        <w:t xml:space="preserve">2. Trường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lượng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qua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đủ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lượng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đương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thêm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Quy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bộ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trị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D41E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2D41E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Quy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đương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giới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thiệu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thêm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bố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rõ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ràng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3468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0A6793D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9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Cách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thức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bầu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,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miễn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nhiệm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,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bãi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nhiệm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thành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viên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12"/>
      <w:proofErr w:type="spellEnd"/>
    </w:p>
    <w:p w14:paraId="3D861338" w14:textId="77777777" w:rsidR="00146274" w:rsidRPr="00146274" w:rsidRDefault="00146274" w:rsidP="002D41E4">
      <w:pPr>
        <w:spacing w:before="60" w:after="60" w:line="264" w:lineRule="auto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13" w:name="dieu_9_2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miễn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thẩm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ĐHĐCĐ.</w:t>
      </w:r>
    </w:p>
    <w:p w14:paraId="5B9C2123" w14:textId="77777777" w:rsidR="00146274" w:rsidRPr="00146274" w:rsidRDefault="00146274" w:rsidP="002D41E4">
      <w:pPr>
        <w:spacing w:before="60" w:after="60" w:line="264" w:lineRule="auto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</w:p>
    <w:p w14:paraId="0FB014BC" w14:textId="77777777" w:rsidR="00146274" w:rsidRPr="00146274" w:rsidRDefault="00146274" w:rsidP="002D41E4">
      <w:pPr>
        <w:spacing w:before="60" w:after="60" w:line="264" w:lineRule="auto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a.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phương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dồn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mỗi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tương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sở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hữu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nhân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Kiểm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dồn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1181BAD" w14:textId="77777777" w:rsidR="00146274" w:rsidRPr="00146274" w:rsidRDefault="00146274" w:rsidP="002D41E4">
      <w:pPr>
        <w:spacing w:before="60" w:after="60" w:line="264" w:lineRule="auto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b.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trúng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xuống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thấp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bắt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44EAC292" w14:textId="77777777" w:rsidR="00146274" w:rsidRPr="00146274" w:rsidRDefault="00146274" w:rsidP="002D41E4">
      <w:pPr>
        <w:shd w:val="clear" w:color="auto" w:fill="FFFFFF"/>
        <w:spacing w:before="60" w:after="120" w:line="234" w:lineRule="atLeast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c. Trường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2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trở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cùng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như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nhau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cùng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thì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ngang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nhau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lựa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chọn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D37254A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10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Các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trường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hợp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miễn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nhiệm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,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bãi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nhiệm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thành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viên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13"/>
      <w:proofErr w:type="spellEnd"/>
    </w:p>
    <w:p w14:paraId="479E884F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14" w:name="dieu_10_2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miễn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sau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đây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:</w:t>
      </w:r>
    </w:p>
    <w:p w14:paraId="27E0256D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a.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còn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chuẩn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6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5D08A18F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b.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2F2AD86C" w14:textId="76587641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c. Trường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</w:t>
      </w:r>
      <w:r w:rsidR="005B074F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ổng</w:t>
      </w:r>
      <w:proofErr w:type="spellEnd"/>
      <w:r w:rsidR="005B074F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5B074F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5B074F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19BD692D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sau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đây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:</w:t>
      </w:r>
    </w:p>
    <w:p w14:paraId="127890D5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a.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hoàn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phân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3658F8AC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b.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06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tục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trừ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0E48A84B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c. Vi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vi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nghiêm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trọng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Doanh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146CF581" w14:textId="77777777" w:rsidR="00146274" w:rsidRPr="00146274" w:rsidRDefault="00146274" w:rsidP="002D41E4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d. Trường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3130871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1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1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Thông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báo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về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bầu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,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miễn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nhiệm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,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bãi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nhiệm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thành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viên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14"/>
      <w:proofErr w:type="spellEnd"/>
    </w:p>
    <w:p w14:paraId="7C37A1D3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15" w:name="chuong_3_1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Trường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10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khai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tìm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bỏ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lastRenderedPageBreak/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cam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văn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trung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nhân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cam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trung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cẩn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trọng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vì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Thông tin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gồm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:</w:t>
      </w:r>
    </w:p>
    <w:p w14:paraId="7D48267E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a.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53F99FF1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b.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chuyên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môn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2A79B73F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c.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1A77A56F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d. Các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7B1259FA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đ. Lợi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0A12D70A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e. Thông tin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đang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nắm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giữ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FD060FE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f. Các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4825B941" w14:textId="77777777" w:rsidR="00146274" w:rsidRPr="00146274" w:rsidRDefault="00146274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miễn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hướng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dẫn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tin.</w:t>
      </w:r>
    </w:p>
    <w:p w14:paraId="6A40C94E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Chương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III</w:t>
      </w:r>
      <w:bookmarkEnd w:id="15"/>
    </w:p>
    <w:p w14:paraId="5277953E" w14:textId="77777777" w:rsidR="00EC0C22" w:rsidRPr="00B41639" w:rsidRDefault="00EC0C22" w:rsidP="002D41E4">
      <w:pPr>
        <w:shd w:val="clear" w:color="auto" w:fill="FFFFFF"/>
        <w:spacing w:before="60" w:after="12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16" w:name="chuong_3_1_name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BAN KIỂM SOÁT</w:t>
      </w:r>
      <w:bookmarkEnd w:id="16"/>
    </w:p>
    <w:p w14:paraId="50A5588B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17" w:name="dieu_11_2"/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1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2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Quyền,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nghĩa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vụ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và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trách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nhiệm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17"/>
      <w:proofErr w:type="spellEnd"/>
    </w:p>
    <w:p w14:paraId="7242B159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18" w:name="dieu_12_2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39A8FE8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trung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cẩn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trọng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thống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phù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thống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kê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B8F7266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Thẩm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đầy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trung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06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đánh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thẩm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dịch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thẩm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phê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duyệt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khuyến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dịch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phê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duyệt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ĐHĐCĐ.</w:t>
      </w:r>
    </w:p>
    <w:p w14:paraId="292498F5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4.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đánh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thống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bộ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bộ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rủi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cảnh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sớm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C0CCA0A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5. Xem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xét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ghi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chép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xét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thấy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nhóm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2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115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Doanh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11AFD613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6. Khi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nhóm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2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115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Doanh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7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Trong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15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thúc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những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nhóm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lastRenderedPageBreak/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trở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gây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đoạn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1B454DF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7.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sửa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đổi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sung,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cấu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1E28AACF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8. Khi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165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ngay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văn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dứt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khắc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phục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hậu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192D78BB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9. Tham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dự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thảo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ĐHĐCĐ,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…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07D53E3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10.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dụng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tư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bộ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bộ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rủi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…;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bộ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Phòng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/Ban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6307D68C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11.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khảo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ý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ĐHĐCĐ.</w:t>
      </w:r>
    </w:p>
    <w:p w14:paraId="3EBEA3B5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12.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29B3CCF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13.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87893D0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14. Thay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thế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30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3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140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Doanh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14CB5866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15.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tịch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80AFF9E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16. Xem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xét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lục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chép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toàn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bộ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dung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kê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khai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Danh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kê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khai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2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164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Doanh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8FD43F0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17.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xuất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phê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duyệt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Báo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xét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thấy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67242B79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18.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Chịu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1A4A043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19.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tuân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3A52C57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20.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Đảm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2A2E525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21. Trường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văn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vòng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48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giờ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dứt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khắc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phục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hậu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E3D6042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22.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Xây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qua.</w:t>
      </w:r>
    </w:p>
    <w:p w14:paraId="53A29713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23.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lấy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ý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văn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qua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ĐHĐCĐ.</w:t>
      </w:r>
    </w:p>
    <w:p w14:paraId="1F8A8F3E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24. Ban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Quy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sau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qua.</w:t>
      </w:r>
    </w:p>
    <w:p w14:paraId="21A6011C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lastRenderedPageBreak/>
        <w:t xml:space="preserve">25. Thông qua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vốn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tư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xét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thấy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88562DD" w14:textId="77777777" w:rsidR="00146274" w:rsidRPr="00146274" w:rsidRDefault="00146274" w:rsidP="002D41E4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26.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Doanh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ĐHĐCĐ.</w:t>
      </w:r>
    </w:p>
    <w:p w14:paraId="302EB45E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1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3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Quyền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được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cung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cấp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thông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tin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18"/>
      <w:proofErr w:type="spellEnd"/>
    </w:p>
    <w:p w14:paraId="0ACA4C33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19" w:name="dieu_13_2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Tài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gửi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cùng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phương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như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Bao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gồm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:</w:t>
      </w:r>
    </w:p>
    <w:p w14:paraId="0DD9F009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a. Thông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lấy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ý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kèm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7CDA42E3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b.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ĐHĐCĐ, HĐQT;</w:t>
      </w:r>
    </w:p>
    <w:p w14:paraId="5C44F274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c. Báo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C162CDF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cấp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đầy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kịp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</w:p>
    <w:p w14:paraId="59C453F5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tiếp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hồ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(bao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gồm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hồ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lưu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giữ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sở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nhân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giờ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BD5BBE3" w14:textId="77777777" w:rsidR="00146274" w:rsidRPr="00146274" w:rsidRDefault="00146274" w:rsidP="002D41E4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4. Các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D41E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2D41E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2D41E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2D41E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ty.</w:t>
      </w:r>
    </w:p>
    <w:p w14:paraId="3195E428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1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4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Trách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nhiệm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trong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việc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triệu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tập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họp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bất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thường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Đại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hội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đồng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cổ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đông</w:t>
      </w:r>
      <w:bookmarkEnd w:id="19"/>
      <w:proofErr w:type="spellEnd"/>
    </w:p>
    <w:p w14:paraId="5E5EB390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20" w:name="chuong_4_1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thế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30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sau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đây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:</w:t>
      </w:r>
    </w:p>
    <w:p w14:paraId="721B7DC4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a.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còn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23B4BBF8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b. Theo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nhóm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2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115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Doanh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;</w:t>
      </w:r>
    </w:p>
    <w:p w14:paraId="679BE4FE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c. Khi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nhưng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62ACE48D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Trường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thì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bồi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thiệt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1DC8CDDE" w14:textId="77777777" w:rsidR="00146274" w:rsidRDefault="00146274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Chi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hoàn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lại</w:t>
      </w:r>
      <w:proofErr w:type="spellEnd"/>
    </w:p>
    <w:p w14:paraId="3B8E6C8E" w14:textId="77777777" w:rsidR="002D41E4" w:rsidRDefault="002D41E4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</w:pPr>
    </w:p>
    <w:p w14:paraId="61E7522F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Chương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IV</w:t>
      </w:r>
      <w:bookmarkEnd w:id="20"/>
    </w:p>
    <w:p w14:paraId="0248C3AC" w14:textId="77777777" w:rsidR="00EC0C22" w:rsidRPr="00B41639" w:rsidRDefault="00EC0C22" w:rsidP="002D41E4">
      <w:pPr>
        <w:shd w:val="clear" w:color="auto" w:fill="FFFFFF"/>
        <w:spacing w:before="60" w:after="12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21" w:name="chuong_4_1_name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CUỘC HỌP BAN KIỂM SOÁT</w:t>
      </w:r>
      <w:bookmarkEnd w:id="21"/>
    </w:p>
    <w:p w14:paraId="3C8754DB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22" w:name="dieu_14_2"/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1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5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Cuộc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họp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22"/>
      <w:proofErr w:type="spellEnd"/>
    </w:p>
    <w:p w14:paraId="2ECF3851" w14:textId="77777777" w:rsidR="00146274" w:rsidRPr="00146274" w:rsidRDefault="00146274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23" w:name="dieu_15_2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vòng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7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sau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lastRenderedPageBreak/>
        <w:t>nhất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Trường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ngang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nhau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thì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nguyên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tắc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EB05557" w14:textId="77777777" w:rsidR="00146274" w:rsidRPr="00146274" w:rsidRDefault="00146274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mỗi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 (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xuất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xét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thấy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lượng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dự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hai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(2/3)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Trưởng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ủy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tiếp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tuyến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lấy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ý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văn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DC6C33F" w14:textId="77777777" w:rsidR="00146274" w:rsidRPr="00146274" w:rsidRDefault="00146274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Trường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…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dự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D3D1D28" w14:textId="77777777" w:rsidR="00146274" w:rsidRPr="00146274" w:rsidRDefault="00146274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4. Các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sở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sự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thống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6C945621" w14:textId="77777777" w:rsidR="00146274" w:rsidRPr="00146274" w:rsidRDefault="00146274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5. Các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chuẩn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Trưởng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căn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cứ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mục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dung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phân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chuẩn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dung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những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đổi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</w:p>
    <w:p w14:paraId="11B91E96" w14:textId="77777777" w:rsidR="00146274" w:rsidRPr="00146274" w:rsidRDefault="00146274" w:rsidP="002D41E4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6. Thông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gửi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phương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phù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gửi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chậm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2 (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hai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dự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5D717DE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1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6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Biên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bản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họp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23"/>
      <w:proofErr w:type="spellEnd"/>
    </w:p>
    <w:p w14:paraId="27BB5C0B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24" w:name="chuong_5_1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Các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9C6D4E8" w14:textId="77777777" w:rsidR="00146274" w:rsidRDefault="00146274" w:rsidP="002D41E4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chi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rõ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ràng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tiếng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Việt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chữ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tọa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lưu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nhằm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BE2A9FD" w14:textId="77777777" w:rsidR="00146274" w:rsidRPr="00146274" w:rsidRDefault="00146274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</w:pPr>
      <w:proofErr w:type="spellStart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17. Thông qua </w:t>
      </w:r>
      <w:proofErr w:type="spellStart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proofErr w:type="spellEnd"/>
    </w:p>
    <w:p w14:paraId="01A0235C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Các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qua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lấy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ý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qua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77928BB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Mỗi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một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ủy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fax,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văn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Trường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ủy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vẫn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chịu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những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dung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ủy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E1C837E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thì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ủy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6ED845E" w14:textId="77777777" w:rsidR="00146274" w:rsidRPr="00146274" w:rsidRDefault="00146274" w:rsidP="002D41E4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4.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qua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50%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biểu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Trường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phiếu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ngang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nhau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thì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cùng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phía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ý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Trưởng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0FBCCEA" w14:textId="77777777" w:rsidR="002D41E4" w:rsidRDefault="002D41E4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</w:pPr>
    </w:p>
    <w:p w14:paraId="56F0DA6A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Chương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V</w:t>
      </w:r>
      <w:bookmarkEnd w:id="24"/>
    </w:p>
    <w:p w14:paraId="70F7F131" w14:textId="77777777" w:rsidR="00EC0C22" w:rsidRPr="00B41639" w:rsidRDefault="00EC0C22" w:rsidP="002D41E4">
      <w:pPr>
        <w:shd w:val="clear" w:color="auto" w:fill="FFFFFF"/>
        <w:spacing w:before="60" w:after="12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25" w:name="chuong_5_1_name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BÁO CÁO VÀ CÔNG KHAI LỢI ÍCH</w:t>
      </w:r>
      <w:bookmarkEnd w:id="25"/>
    </w:p>
    <w:p w14:paraId="72ECE48D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26" w:name="dieu_16_1"/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lastRenderedPageBreak/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1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8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Trình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báo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cáo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hàng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năm</w:t>
      </w:r>
      <w:bookmarkEnd w:id="26"/>
      <w:proofErr w:type="spellEnd"/>
    </w:p>
    <w:p w14:paraId="0508E9E4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27" w:name="dieu_17_2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Các Báo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qua bao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gồm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dung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sau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đây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:</w:t>
      </w:r>
    </w:p>
    <w:p w14:paraId="42017C43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Báo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4E08E52A" w14:textId="026BA6BA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Báo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tự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đánh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464C5965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Thù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chi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Kiểm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A0E490F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4.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1115CEB2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5. Báo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đánh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dịch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giữa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con,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nắm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mươi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(50%)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vốn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những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dịch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giữa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3 (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trước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dịch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CA73B17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6.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6928C38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7.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đánh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sự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giữa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Giám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F19EFEC" w14:textId="77777777" w:rsidR="00146274" w:rsidRPr="00146274" w:rsidRDefault="00146274" w:rsidP="002D41E4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8.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xuất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phê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duyệt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Báo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xét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thấy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611617AF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1</w:t>
      </w:r>
      <w:r w:rsidR="002D41E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9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Tiền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lương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và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quyền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lợi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khác</w:t>
      </w:r>
      <w:bookmarkEnd w:id="27"/>
      <w:proofErr w:type="spellEnd"/>
    </w:p>
    <w:p w14:paraId="27978472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28" w:name="dieu_18_2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lương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thù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thưởng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lương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thù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thưởng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ngân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AC0C428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r w:rsidR="00D57DE5"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thanh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toán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chi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phí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ăn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ở,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lại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chi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phí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sử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dụng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dịch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tư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độc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mức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mức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thù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lao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chi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phí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vượt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quá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ngân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sách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hằng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Kiểm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đã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chấp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thuận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trừ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ĐHĐCĐ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4617B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0321BF4" w14:textId="77777777" w:rsidR="00146274" w:rsidRPr="00146274" w:rsidRDefault="00146274" w:rsidP="002D41E4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lương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chi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chi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thuế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mục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riêng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D674F5C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20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Công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khai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các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lợi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ích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liên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quan</w:t>
      </w:r>
      <w:bookmarkEnd w:id="28"/>
      <w:proofErr w:type="spellEnd"/>
    </w:p>
    <w:p w14:paraId="6F5C4F97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29" w:name="chuong_6_1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kê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khai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bao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gồm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:</w:t>
      </w:r>
    </w:p>
    <w:p w14:paraId="43664586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lastRenderedPageBreak/>
        <w:t xml:space="preserve">a.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chỉ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sở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sở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hữu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vốn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góp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tỷ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sở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hữu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vốn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góp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4585EE49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b.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mã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chỉ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sở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doanh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nghiệp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những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chủ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cùng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sở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hữu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sở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hữu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riêng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vốn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góp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10%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vốn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E1340BC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2.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kê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khai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1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7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sinh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sửa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đổi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sung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7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sửa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đổi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bổ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sung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tương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3A73A73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những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chỉ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dụng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những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nhờ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phục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ích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417A1290" w14:textId="77777777" w:rsidR="00146274" w:rsidRPr="00146274" w:rsidRDefault="00146274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4.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bằng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văn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dịch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giữa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con,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nắm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mươi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(50%)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vốn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những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dịch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nêu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do ĐHĐCĐ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thuận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khoán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bố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tin.</w:t>
      </w:r>
    </w:p>
    <w:p w14:paraId="0326EE6A" w14:textId="77777777" w:rsidR="00146274" w:rsidRPr="00146274" w:rsidRDefault="00146274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5.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những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này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sử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dụng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tiết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lộ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bộ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giao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dịch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79512A8" w14:textId="77777777" w:rsidR="002D41E4" w:rsidRDefault="002D41E4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</w:pPr>
    </w:p>
    <w:p w14:paraId="7CF968B5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Chương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VI</w:t>
      </w:r>
      <w:bookmarkEnd w:id="29"/>
    </w:p>
    <w:p w14:paraId="0732E900" w14:textId="77777777" w:rsidR="00EC0C22" w:rsidRPr="00B41639" w:rsidRDefault="00EC0C22" w:rsidP="002D41E4">
      <w:pPr>
        <w:shd w:val="clear" w:color="auto" w:fill="FFFFFF"/>
        <w:spacing w:before="60" w:after="12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30" w:name="chuong_6_1_name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MỐI QUAN HỆ CỦA BAN KIỂM SOÁT</w:t>
      </w:r>
      <w:bookmarkEnd w:id="30"/>
    </w:p>
    <w:p w14:paraId="472155EE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31" w:name="dieu_19_2"/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r w:rsidR="00146274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21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Mối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quan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hệ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giữa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các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thành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viên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soát</w:t>
      </w:r>
      <w:bookmarkEnd w:id="31"/>
      <w:proofErr w:type="spellEnd"/>
    </w:p>
    <w:p w14:paraId="64EA5663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32" w:name="dieu_20_2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1. Các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thuộc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lẫn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nhau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nhưng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sự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để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đảm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tốt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Quy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D010662" w14:textId="77777777" w:rsidR="00146274" w:rsidRPr="00146274" w:rsidRDefault="00146274" w:rsidP="002D41E4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Các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nhau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những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quá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trình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</w:t>
      </w:r>
    </w:p>
    <w:p w14:paraId="7B5E9F16" w14:textId="77777777" w:rsidR="00146274" w:rsidRPr="00146274" w:rsidRDefault="00146274" w:rsidP="002D41E4">
      <w:pPr>
        <w:shd w:val="clear" w:color="auto" w:fill="FFFFFF"/>
        <w:spacing w:before="60" w:after="12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4.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Trưởng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chung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nhưng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không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chi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phối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14627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780A05C0" w14:textId="77777777" w:rsidR="00E83770" w:rsidRPr="00E83770" w:rsidRDefault="00E83770" w:rsidP="00D57DE5">
      <w:pPr>
        <w:spacing w:before="60" w:after="60" w:line="264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</w:pPr>
      <w:bookmarkStart w:id="33" w:name="chuong_7_1"/>
      <w:bookmarkEnd w:id="32"/>
      <w:proofErr w:type="spellStart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22. </w:t>
      </w:r>
      <w:proofErr w:type="spellStart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Mối</w:t>
      </w:r>
      <w:proofErr w:type="spellEnd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quan</w:t>
      </w:r>
      <w:proofErr w:type="spellEnd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hệ</w:t>
      </w:r>
      <w:proofErr w:type="spellEnd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với</w:t>
      </w:r>
      <w:proofErr w:type="spellEnd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Hội</w:t>
      </w:r>
      <w:proofErr w:type="spellEnd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đồng</w:t>
      </w:r>
      <w:proofErr w:type="spellEnd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quản</w:t>
      </w:r>
      <w:proofErr w:type="spellEnd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trị</w:t>
      </w:r>
      <w:proofErr w:type="spellEnd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, Ban </w:t>
      </w:r>
      <w:proofErr w:type="spellStart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hành</w:t>
      </w:r>
      <w:proofErr w:type="spellEnd"/>
    </w:p>
    <w:p w14:paraId="338B9335" w14:textId="77777777" w:rsidR="00E83770" w:rsidRPr="00E83770" w:rsidRDefault="00E837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2D41E4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1</w:t>
      </w: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mối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hệ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đơn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vị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C9B26DB" w14:textId="1F50D8CE" w:rsidR="00E83770" w:rsidRPr="00E83770" w:rsidRDefault="00E837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lastRenderedPageBreak/>
        <w:t xml:space="preserve">2.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phối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chặt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chẽ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với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HĐQT, </w:t>
      </w:r>
      <w:r w:rsidR="00ED73C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</w:t>
      </w: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quá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trình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mình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HĐQT,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kiện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cấp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tất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cả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thiết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tôn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trọng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tính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lập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72E67CA" w14:textId="77777777" w:rsidR="00E83770" w:rsidRPr="00E83770" w:rsidRDefault="00E837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3. HĐQT,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kiện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tốt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Thành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trong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chức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hạn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nghĩa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vụ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chỉ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đạo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chấn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chỉnh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xử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sai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kiến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xuất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 </w:t>
      </w:r>
    </w:p>
    <w:p w14:paraId="0A508E1F" w14:textId="77777777" w:rsidR="00E83770" w:rsidRPr="00E83770" w:rsidRDefault="00E837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4. HĐQT,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mời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tham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dự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bất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thường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buổi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sơ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toàn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hoặc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vực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...</w:t>
      </w:r>
    </w:p>
    <w:p w14:paraId="4F68F7A7" w14:textId="77777777" w:rsidR="00E83770" w:rsidRPr="00E83770" w:rsidRDefault="00E837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5.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Trưởng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trách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nhiệm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kịp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tới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những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vấn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sinh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tại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Biên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kỳ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gửi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tới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(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qua Thư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ký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Hội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trị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chậm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nhất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sau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05 (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)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làm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việc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kể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kết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thúc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cuộc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họp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(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trừ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bất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khả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).</w:t>
      </w:r>
    </w:p>
    <w:p w14:paraId="08F1AAF2" w14:textId="77777777" w:rsidR="00E83770" w:rsidRPr="00E83770" w:rsidRDefault="00E837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6.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phải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kịp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báo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trường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hợp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vi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phạm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người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3A37C142" w14:textId="77777777" w:rsidR="00E83770" w:rsidRPr="00E83770" w:rsidRDefault="00E837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7. HĐQT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quyền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đề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nghị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giám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yêu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xét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thấy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cần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thiết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.                                                             </w:t>
      </w:r>
    </w:p>
    <w:p w14:paraId="07FDD56D" w14:textId="77777777" w:rsidR="00E83770" w:rsidRPr="00E83770" w:rsidRDefault="00E837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8. Thông qua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HĐQT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xem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xét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tính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trung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Báo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;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tính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bộ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lý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bố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2FF15EE9" w14:textId="77777777" w:rsidR="00E83770" w:rsidRPr="00E83770" w:rsidRDefault="00E83770" w:rsidP="00D57DE5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9. HĐQT,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đảm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bảo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tất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cả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chính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thông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tin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cấp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thành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viên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HĐQT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các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tài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liệu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liên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quan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đến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công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ty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sẽ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được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cung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cấp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đồng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thời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59D2DFD8" w14:textId="77777777" w:rsidR="00E83770" w:rsidRDefault="00E83770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10. Các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dung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khác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thực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theo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quy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định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pháp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luật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, Quy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nội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bộ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về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quản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trị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lệ</w:t>
      </w:r>
      <w:proofErr w:type="spellEnd"/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D57DE5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</w:t>
      </w:r>
      <w:r w:rsidRP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</w:t>
      </w:r>
    </w:p>
    <w:p w14:paraId="09E23B16" w14:textId="77777777" w:rsidR="00646D69" w:rsidRDefault="00646D69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</w:pPr>
    </w:p>
    <w:p w14:paraId="470177C2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Chương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VII</w:t>
      </w:r>
      <w:bookmarkEnd w:id="33"/>
    </w:p>
    <w:p w14:paraId="1E5C333B" w14:textId="77777777" w:rsidR="00EC0C22" w:rsidRPr="00B41639" w:rsidRDefault="00EC0C22" w:rsidP="00D57DE5">
      <w:pPr>
        <w:shd w:val="clear" w:color="auto" w:fill="FFFFFF"/>
        <w:spacing w:before="60" w:after="60" w:line="234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34" w:name="chuong_7_1_name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 KHOẢN THI HÀNH</w:t>
      </w:r>
      <w:bookmarkEnd w:id="34"/>
    </w:p>
    <w:p w14:paraId="52262B89" w14:textId="5DB3A6E1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bookmarkStart w:id="35" w:name="dieu_22_2"/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2</w:t>
      </w:r>
      <w:r w:rsidR="00187221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3</w:t>
      </w:r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. Hiệu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lực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thi</w:t>
      </w:r>
      <w:proofErr w:type="spellEnd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</w:rPr>
        <w:t>hành</w:t>
      </w:r>
      <w:bookmarkEnd w:id="35"/>
      <w:proofErr w:type="spellEnd"/>
    </w:p>
    <w:p w14:paraId="1D60FD17" w14:textId="2484C5A5" w:rsidR="00EC0C22" w:rsidRPr="00B41639" w:rsidRDefault="00EC0C22" w:rsidP="00D57DE5">
      <w:pPr>
        <w:shd w:val="clear" w:color="auto" w:fill="FFFFFF"/>
        <w:spacing w:before="60" w:after="60" w:line="234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Quy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chế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hoạt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động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của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Ban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kiểm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soát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Tổng</w:t>
      </w:r>
      <w:proofErr w:type="spellEnd"/>
      <w:r w:rsid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Công ty </w:t>
      </w:r>
      <w:proofErr w:type="spellStart"/>
      <w:r w:rsid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cổ</w:t>
      </w:r>
      <w:proofErr w:type="spellEnd"/>
      <w:r w:rsid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phần</w:t>
      </w:r>
      <w:proofErr w:type="spellEnd"/>
      <w:r w:rsid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Bảo </w:t>
      </w:r>
      <w:proofErr w:type="spellStart"/>
      <w:r w:rsid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hiểm</w:t>
      </w:r>
      <w:proofErr w:type="spellEnd"/>
      <w:r w:rsidR="00E83770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Petrolimex </w:t>
      </w:r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bao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gồm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[</w:t>
      </w:r>
      <w:r w:rsidR="005224D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VII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chương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], [</w:t>
      </w:r>
      <w:r w:rsidR="005224D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23</w:t>
      </w:r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điều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]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và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có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hiệu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lực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thi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hành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kể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từ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ngày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...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tháng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...</w:t>
      </w:r>
      <w:proofErr w:type="spellStart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năm</w:t>
      </w:r>
      <w:proofErr w:type="spellEnd"/>
      <w:r w:rsidRPr="00B4163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896"/>
      </w:tblGrid>
      <w:tr w:rsidR="00EC0C22" w:rsidRPr="00B41639" w14:paraId="671D651D" w14:textId="77777777" w:rsidTr="00915812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2CDA186C" w14:textId="77777777" w:rsidR="00EC0C22" w:rsidRPr="00B41639" w:rsidRDefault="00EC0C22" w:rsidP="00D57DE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45E7C27F" w14:textId="77777777" w:rsidR="00EC0C22" w:rsidRPr="00B41639" w:rsidRDefault="00EC0C22" w:rsidP="00D57DE5">
            <w:pPr>
              <w:spacing w:before="60" w:after="60" w:line="234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6"/>
                <w:szCs w:val="26"/>
              </w:rPr>
            </w:pPr>
            <w:r w:rsidRPr="00B4163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t>TM. BAN KIỂM SOÁT</w:t>
            </w:r>
            <w:r w:rsidRPr="00B4163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br/>
              <w:t>TRƯỞNG BAN</w:t>
            </w:r>
            <w:r w:rsidRPr="00B4163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6"/>
                <w:szCs w:val="26"/>
              </w:rPr>
              <w:br/>
            </w:r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>(</w:t>
            </w:r>
            <w:proofErr w:type="spellStart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>Ký</w:t>
            </w:r>
            <w:proofErr w:type="spellEnd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>ghi</w:t>
            </w:r>
            <w:proofErr w:type="spellEnd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>rõ</w:t>
            </w:r>
            <w:proofErr w:type="spellEnd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>họ</w:t>
            </w:r>
            <w:proofErr w:type="spellEnd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>tên</w:t>
            </w:r>
            <w:proofErr w:type="spellEnd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>và</w:t>
            </w:r>
            <w:proofErr w:type="spellEnd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>đóng</w:t>
            </w:r>
            <w:proofErr w:type="spellEnd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>dấu</w:t>
            </w:r>
            <w:proofErr w:type="spellEnd"/>
            <w:r w:rsidRPr="00B41639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6"/>
                <w:szCs w:val="26"/>
              </w:rPr>
              <w:t>)</w:t>
            </w:r>
          </w:p>
        </w:tc>
      </w:tr>
    </w:tbl>
    <w:p w14:paraId="6DBD07B6" w14:textId="77777777" w:rsidR="00D14D6E" w:rsidRDefault="00D14D6E"/>
    <w:sectPr w:rsidR="00D14D6E" w:rsidSect="00FC7FAB">
      <w:footerReference w:type="default" r:id="rId8"/>
      <w:pgSz w:w="12240" w:h="15840"/>
      <w:pgMar w:top="1152" w:right="1152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7A8F" w14:textId="77777777" w:rsidR="008779F0" w:rsidRDefault="008779F0" w:rsidP="00FC7FAB">
      <w:pPr>
        <w:spacing w:after="0" w:line="240" w:lineRule="auto"/>
      </w:pPr>
      <w:r>
        <w:separator/>
      </w:r>
    </w:p>
  </w:endnote>
  <w:endnote w:type="continuationSeparator" w:id="0">
    <w:p w14:paraId="0CA8498B" w14:textId="77777777" w:rsidR="008779F0" w:rsidRDefault="008779F0" w:rsidP="00FC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3544334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647542C" w14:textId="4E289737" w:rsidR="00FC7FAB" w:rsidRPr="00FC7FAB" w:rsidRDefault="00FC7FA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7FAB">
          <w:rPr>
            <w:rFonts w:ascii="Times New Roman" w:hAnsi="Times New Roman" w:cs="Times New Roman"/>
            <w:noProof w:val="0"/>
            <w:sz w:val="24"/>
            <w:szCs w:val="24"/>
          </w:rPr>
          <w:fldChar w:fldCharType="begin"/>
        </w:r>
        <w:r w:rsidRPr="00FC7F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C7FAB">
          <w:rPr>
            <w:rFonts w:ascii="Times New Roman" w:hAnsi="Times New Roman" w:cs="Times New Roman"/>
            <w:noProof w:val="0"/>
            <w:sz w:val="24"/>
            <w:szCs w:val="24"/>
          </w:rPr>
          <w:fldChar w:fldCharType="separate"/>
        </w:r>
        <w:r w:rsidR="000077C6">
          <w:rPr>
            <w:rFonts w:ascii="Times New Roman" w:hAnsi="Times New Roman" w:cs="Times New Roman"/>
            <w:sz w:val="24"/>
            <w:szCs w:val="24"/>
          </w:rPr>
          <w:t>8</w:t>
        </w:r>
        <w:r w:rsidRPr="00FC7F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74F9E0" w14:textId="77777777" w:rsidR="00FC7FAB" w:rsidRDefault="00FC7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39CB" w14:textId="77777777" w:rsidR="008779F0" w:rsidRDefault="008779F0" w:rsidP="00FC7FAB">
      <w:pPr>
        <w:spacing w:after="0" w:line="240" w:lineRule="auto"/>
      </w:pPr>
      <w:r>
        <w:separator/>
      </w:r>
    </w:p>
  </w:footnote>
  <w:footnote w:type="continuationSeparator" w:id="0">
    <w:p w14:paraId="42505500" w14:textId="77777777" w:rsidR="008779F0" w:rsidRDefault="008779F0" w:rsidP="00FC7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22"/>
    <w:rsid w:val="000077C6"/>
    <w:rsid w:val="00024951"/>
    <w:rsid w:val="000D1ABE"/>
    <w:rsid w:val="000F764A"/>
    <w:rsid w:val="00146274"/>
    <w:rsid w:val="00187221"/>
    <w:rsid w:val="00207493"/>
    <w:rsid w:val="002168CC"/>
    <w:rsid w:val="002879FC"/>
    <w:rsid w:val="002D41E4"/>
    <w:rsid w:val="00346870"/>
    <w:rsid w:val="00374105"/>
    <w:rsid w:val="003A3F10"/>
    <w:rsid w:val="004617B9"/>
    <w:rsid w:val="0050416C"/>
    <w:rsid w:val="005224D9"/>
    <w:rsid w:val="00535C1E"/>
    <w:rsid w:val="005B074F"/>
    <w:rsid w:val="00646D69"/>
    <w:rsid w:val="0069747A"/>
    <w:rsid w:val="006A4C18"/>
    <w:rsid w:val="007E6662"/>
    <w:rsid w:val="008779F0"/>
    <w:rsid w:val="009E7A3C"/>
    <w:rsid w:val="00A94668"/>
    <w:rsid w:val="00BA29E0"/>
    <w:rsid w:val="00BD09C3"/>
    <w:rsid w:val="00C61B47"/>
    <w:rsid w:val="00C9245F"/>
    <w:rsid w:val="00CC2390"/>
    <w:rsid w:val="00D14D6E"/>
    <w:rsid w:val="00D53DDA"/>
    <w:rsid w:val="00D57DE5"/>
    <w:rsid w:val="00E46650"/>
    <w:rsid w:val="00E67816"/>
    <w:rsid w:val="00E83770"/>
    <w:rsid w:val="00EA17A3"/>
    <w:rsid w:val="00EC0C22"/>
    <w:rsid w:val="00ED73C7"/>
    <w:rsid w:val="00F24774"/>
    <w:rsid w:val="00F92A7E"/>
    <w:rsid w:val="00FC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52E3"/>
  <w15:chartTrackingRefBased/>
  <w15:docId w15:val="{B3C53D6E-ECBF-4104-A08B-32AC0862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2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FA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C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FA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chung-khoan/nghi-dinh-155-2020-nd-cp-huong-dan-luat-chung-khoan-461323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chung-khoan/nghi-dinh-155-2020-nd-cp-huong-dan-luat-chung-khoan-461323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4555</Words>
  <Characters>25965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Quang, Vu Minh (TCT)</dc:creator>
  <cp:keywords/>
  <dc:description/>
  <cp:lastModifiedBy>Vinh, Hoang The (TCT)</cp:lastModifiedBy>
  <cp:revision>12</cp:revision>
  <dcterms:created xsi:type="dcterms:W3CDTF">2026-03-09T07:12:00Z</dcterms:created>
  <dcterms:modified xsi:type="dcterms:W3CDTF">2026-04-03T01:22:00Z</dcterms:modified>
</cp:coreProperties>
</file>